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4.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styles.xml" ContentType="application/vnd.openxmlformats-officedocument.wordprocessingml.styles+xml"/>
  <Override PartName="/word/activeX/activeX10.xml" ContentType="application/vnd.ms-office.activeX+xml"/>
  <Override PartName="/customXml/itemProps1.xml" ContentType="application/vnd.openxmlformats-officedocument.customXmlProperties+xml"/>
  <Override PartName="/word/activeX/activeX11.xml" ContentType="application/vnd.ms-office.activeX+xml"/>
  <Override PartName="/word/activeX/activeX12.xml" ContentType="application/vnd.ms-office.activeX+xml"/>
  <Override PartName="/word/activeX/activeX13.xml" ContentType="application/vnd.ms-office.activeX+xml"/>
  <Override PartName="/customXml/itemProps2.xml" ContentType="application/vnd.openxmlformats-officedocument.customXmlProperties+xml"/>
  <Override PartName="/word/activeX/activeX14.xml" ContentType="application/vnd.ms-office.activeX+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word/activeX/activeX6.xml" ContentType="application/vnd.ms-office.activeX+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66" w:type="pct"/>
        <w:jc w:val="center"/>
        <w:tblCellMar>
          <w:top w:w="15" w:type="dxa"/>
          <w:left w:w="15" w:type="dxa"/>
          <w:bottom w:w="15" w:type="dxa"/>
          <w:right w:w="15" w:type="dxa"/>
        </w:tblCellMar>
        <w:tblLook w:val="04A0" w:firstRow="1" w:lastRow="0" w:firstColumn="1" w:lastColumn="0" w:noHBand="0" w:noVBand="1"/>
      </w:tblPr>
      <w:tblGrid>
        <w:gridCol w:w="14910"/>
      </w:tblGrid>
      <w:tr w:rsidR="00E5571E" w:rsidRPr="00E5571E" w14:paraId="6EA68908" w14:textId="77777777" w:rsidTr="69A8F6F5">
        <w:trPr>
          <w:trHeight w:val="2100"/>
          <w:jc w:val="center"/>
        </w:trPr>
        <w:tc>
          <w:tcPr>
            <w:tcW w:w="5000" w:type="pct"/>
            <w:tcBorders>
              <w:top w:val="single" w:sz="8" w:space="0" w:color="A6C2B2"/>
              <w:left w:val="single" w:sz="8" w:space="0" w:color="F2F2F2" w:themeColor="background1" w:themeShade="F2"/>
              <w:bottom w:val="single" w:sz="8" w:space="0" w:color="A6C2B2"/>
              <w:right w:val="single" w:sz="8" w:space="0" w:color="F2F2F2" w:themeColor="background1" w:themeShade="F2"/>
            </w:tcBorders>
            <w:shd w:val="clear" w:color="auto" w:fill="E1EAE5"/>
            <w:tcMar>
              <w:top w:w="0" w:type="dxa"/>
              <w:left w:w="0" w:type="dxa"/>
              <w:bottom w:w="0" w:type="dxa"/>
              <w:right w:w="0" w:type="dxa"/>
            </w:tcMar>
            <w:hideMark/>
          </w:tcPr>
          <w:p w14:paraId="45518EC9" w14:textId="77777777" w:rsidR="00E5571E" w:rsidRPr="00E5571E" w:rsidRDefault="00E5571E" w:rsidP="00E5571E">
            <w:r w:rsidRPr="00E5571E">
              <w:t>TRAC 2</w:t>
            </w:r>
          </w:p>
          <w:p w14:paraId="64DF8963" w14:textId="77777777" w:rsidR="00E5571E" w:rsidRPr="00E5571E" w:rsidRDefault="00E5571E" w:rsidP="00E5571E">
            <w:r w:rsidRPr="00E5571E">
              <w:t>SUBMISSION FORM</w:t>
            </w:r>
          </w:p>
        </w:tc>
      </w:tr>
      <w:tr w:rsidR="00E5571E" w:rsidRPr="00FB4D25" w14:paraId="14B80719" w14:textId="77777777" w:rsidTr="69A8F6F5">
        <w:trPr>
          <w:trHeight w:val="120"/>
          <w:jc w:val="center"/>
        </w:trPr>
        <w:tc>
          <w:tcPr>
            <w:tcW w:w="5000" w:type="pct"/>
            <w:tcBorders>
              <w:top w:val="single" w:sz="8" w:space="0" w:color="A6C2B2"/>
              <w:left w:val="single" w:sz="12" w:space="0" w:color="F2F2F2" w:themeColor="background1" w:themeShade="F2"/>
              <w:bottom w:val="single" w:sz="8" w:space="0" w:color="A6C2B2"/>
              <w:right w:val="single" w:sz="12" w:space="0" w:color="F2F2F2" w:themeColor="background1" w:themeShade="F2"/>
            </w:tcBorders>
            <w:shd w:val="clear" w:color="auto" w:fill="FFFFFF" w:themeFill="background1"/>
            <w:tcMar>
              <w:top w:w="0" w:type="dxa"/>
              <w:left w:w="180" w:type="dxa"/>
              <w:bottom w:w="0" w:type="dxa"/>
              <w:right w:w="180" w:type="dxa"/>
            </w:tcMar>
            <w:vAlign w:val="center"/>
            <w:hideMark/>
          </w:tcPr>
          <w:p w14:paraId="05E3F198" w14:textId="77777777" w:rsidR="00E5571E" w:rsidRPr="00E5571E" w:rsidRDefault="00E5571E" w:rsidP="00E5571E">
            <w:pPr>
              <w:rPr>
                <w:lang w:val="en-US"/>
              </w:rPr>
            </w:pPr>
            <w:r w:rsidRPr="00E5571E">
              <w:rPr>
                <w:lang w:val="en-US"/>
              </w:rPr>
              <w:t>PLEASE REFER TO THE </w:t>
            </w:r>
            <w:hyperlink r:id="rId9" w:tgtFrame="_blank" w:history="1">
              <w:r w:rsidRPr="00E5571E">
                <w:rPr>
                  <w:rStyle w:val="Lienhypertexte"/>
                  <w:lang w:val="en-US"/>
                </w:rPr>
                <w:t>GUIDE</w:t>
              </w:r>
            </w:hyperlink>
            <w:r w:rsidRPr="00E5571E">
              <w:rPr>
                <w:lang w:val="en-US"/>
              </w:rPr>
              <w:t> FOR SUBMISSION INSTRUCTIONS.</w:t>
            </w:r>
          </w:p>
        </w:tc>
      </w:tr>
      <w:tr w:rsidR="00E5571E" w:rsidRPr="00FB4D25" w14:paraId="652DDE30" w14:textId="77777777" w:rsidTr="69A8F6F5">
        <w:trPr>
          <w:trHeight w:val="2100"/>
          <w:jc w:val="center"/>
        </w:trPr>
        <w:tc>
          <w:tcPr>
            <w:tcW w:w="5000" w:type="pct"/>
            <w:tcBorders>
              <w:top w:val="single" w:sz="8" w:space="0" w:color="A6C2B2"/>
              <w:left w:val="single" w:sz="12" w:space="0" w:color="F2F2F2" w:themeColor="background1" w:themeShade="F2"/>
              <w:bottom w:val="single" w:sz="8" w:space="0" w:color="A6C2B2"/>
              <w:right w:val="single" w:sz="12" w:space="0" w:color="F2F2F2" w:themeColor="background1" w:themeShade="F2"/>
            </w:tcBorders>
            <w:shd w:val="clear" w:color="auto" w:fill="FFFFFF" w:themeFill="background1"/>
            <w:tcMar>
              <w:top w:w="0" w:type="dxa"/>
              <w:left w:w="0" w:type="dxa"/>
              <w:bottom w:w="0" w:type="dxa"/>
              <w:right w:w="0" w:type="dxa"/>
            </w:tcMar>
            <w:hideMark/>
          </w:tcPr>
          <w:tbl>
            <w:tblPr>
              <w:tblW w:w="14880" w:type="dxa"/>
              <w:tblCellMar>
                <w:top w:w="15" w:type="dxa"/>
                <w:left w:w="15" w:type="dxa"/>
                <w:bottom w:w="15" w:type="dxa"/>
                <w:right w:w="15" w:type="dxa"/>
              </w:tblCellMar>
              <w:tblLook w:val="04A0" w:firstRow="1" w:lastRow="0" w:firstColumn="1" w:lastColumn="0" w:noHBand="0" w:noVBand="1"/>
            </w:tblPr>
            <w:tblGrid>
              <w:gridCol w:w="5472"/>
              <w:gridCol w:w="9408"/>
            </w:tblGrid>
            <w:tr w:rsidR="00E5571E" w:rsidRPr="00E5571E" w14:paraId="3A2CB799" w14:textId="77777777">
              <w:tc>
                <w:tcPr>
                  <w:tcW w:w="0" w:type="auto"/>
                  <w:tcBorders>
                    <w:top w:val="nil"/>
                    <w:left w:val="nil"/>
                    <w:bottom w:val="nil"/>
                    <w:right w:val="nil"/>
                  </w:tcBorders>
                  <w:vAlign w:val="center"/>
                  <w:hideMark/>
                </w:tcPr>
                <w:p w14:paraId="72F50A5E" w14:textId="77777777" w:rsidR="00E5571E" w:rsidRPr="00E5571E" w:rsidRDefault="00E5571E" w:rsidP="00E5571E">
                  <w:r w:rsidRPr="00E5571E">
                    <w:rPr>
                      <w:b/>
                      <w:bCs/>
                    </w:rPr>
                    <w:t>COUNTRY OFFICE:</w:t>
                  </w:r>
                </w:p>
              </w:tc>
              <w:tc>
                <w:tcPr>
                  <w:tcW w:w="0" w:type="auto"/>
                  <w:tcBorders>
                    <w:top w:val="nil"/>
                    <w:left w:val="nil"/>
                    <w:bottom w:val="nil"/>
                    <w:right w:val="nil"/>
                  </w:tcBorders>
                  <w:vAlign w:val="center"/>
                  <w:hideMark/>
                </w:tcPr>
                <w:p w14:paraId="3D9BB282" w14:textId="77777777" w:rsidR="00E5571E" w:rsidRPr="00E5571E" w:rsidRDefault="00E5571E" w:rsidP="00E5571E">
                  <w:r w:rsidRPr="00E5571E">
                    <w:t> </w:t>
                  </w:r>
                </w:p>
                <w:p w14:paraId="191BF088" w14:textId="3023BE21" w:rsidR="00E5571E" w:rsidRPr="00E5571E" w:rsidRDefault="00E5571E" w:rsidP="00E5571E">
                  <w:r w:rsidRPr="00E5571E">
                    <w:rPr>
                      <w:color w:val="2B579A"/>
                      <w:shd w:val="clear" w:color="auto" w:fill="E6E6E6"/>
                    </w:rPr>
                    <w:object w:dxaOrig="1440" w:dyaOrig="1440" w14:anchorId="76230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42.5pt;height:18pt" o:ole="">
                        <v:imagedata r:id="rId10" o:title=""/>
                      </v:shape>
                      <w:control r:id="rId11" w:name="DefaultOcxName" w:shapeid="_x0000_i1054"/>
                    </w:object>
                  </w:r>
                </w:p>
                <w:p w14:paraId="5FE759EF" w14:textId="59E50EDA" w:rsidR="00E5571E" w:rsidRPr="00E5571E" w:rsidRDefault="00E5571E" w:rsidP="00E5571E">
                  <w:r w:rsidRPr="00E5571E">
                    <w:rPr>
                      <w:noProof/>
                      <w:color w:val="2B579A"/>
                      <w:shd w:val="clear" w:color="auto" w:fill="E6E6E6"/>
                    </w:rPr>
                    <w:drawing>
                      <wp:inline distT="0" distB="0" distL="0" distR="0" wp14:anchorId="387A979D" wp14:editId="05138BC1">
                        <wp:extent cx="1083945" cy="284480"/>
                        <wp:effectExtent l="0" t="0" r="1905" b="127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3945" cy="284480"/>
                                </a:xfrm>
                                <a:prstGeom prst="rect">
                                  <a:avLst/>
                                </a:prstGeom>
                                <a:noFill/>
                                <a:ln>
                                  <a:noFill/>
                                </a:ln>
                              </pic:spPr>
                            </pic:pic>
                          </a:graphicData>
                        </a:graphic>
                      </wp:inline>
                    </w:drawing>
                  </w:r>
                </w:p>
                <w:p w14:paraId="49721F6F" w14:textId="77777777" w:rsidR="00E5571E" w:rsidRPr="00E5571E" w:rsidRDefault="00E5571E" w:rsidP="00E5571E">
                  <w:r w:rsidRPr="00E5571E">
                    <w:t> </w:t>
                  </w:r>
                </w:p>
              </w:tc>
            </w:tr>
          </w:tbl>
          <w:p w14:paraId="608C2CFD" w14:textId="77777777" w:rsidR="00E5571E" w:rsidRPr="00E5571E" w:rsidRDefault="00E5571E" w:rsidP="00E5571E">
            <w:pPr>
              <w:rPr>
                <w:vanish/>
              </w:rPr>
            </w:pPr>
          </w:p>
          <w:tbl>
            <w:tblPr>
              <w:tblW w:w="14880" w:type="dxa"/>
              <w:tblCellMar>
                <w:top w:w="15" w:type="dxa"/>
                <w:left w:w="15" w:type="dxa"/>
                <w:bottom w:w="15" w:type="dxa"/>
                <w:right w:w="15" w:type="dxa"/>
              </w:tblCellMar>
              <w:tblLook w:val="04A0" w:firstRow="1" w:lastRow="0" w:firstColumn="1" w:lastColumn="0" w:noHBand="0" w:noVBand="1"/>
            </w:tblPr>
            <w:tblGrid>
              <w:gridCol w:w="14469"/>
              <w:gridCol w:w="411"/>
            </w:tblGrid>
            <w:tr w:rsidR="00E5571E" w:rsidRPr="00E5571E" w14:paraId="28E822F1" w14:textId="77777777" w:rsidTr="69A8F6F5">
              <w:trPr>
                <w:trHeight w:val="405"/>
              </w:trPr>
              <w:tc>
                <w:tcPr>
                  <w:tcW w:w="0" w:type="auto"/>
                  <w:gridSpan w:val="2"/>
                  <w:tcBorders>
                    <w:top w:val="single" w:sz="8" w:space="0" w:color="A6C2B2"/>
                    <w:left w:val="nil"/>
                    <w:bottom w:val="single" w:sz="8" w:space="0" w:color="A6C2B2"/>
                    <w:right w:val="nil"/>
                  </w:tcBorders>
                  <w:shd w:val="clear" w:color="auto" w:fill="E1EAE5"/>
                  <w:tcMar>
                    <w:top w:w="30" w:type="dxa"/>
                    <w:left w:w="330" w:type="dxa"/>
                    <w:bottom w:w="30" w:type="dxa"/>
                    <w:right w:w="330" w:type="dxa"/>
                  </w:tcMar>
                  <w:vAlign w:val="center"/>
                  <w:hideMark/>
                </w:tcPr>
                <w:p w14:paraId="7CA6DFE4" w14:textId="77777777" w:rsidR="00E5571E" w:rsidRPr="00E5571E" w:rsidRDefault="00E5571E" w:rsidP="00E5571E">
                  <w:pPr>
                    <w:rPr>
                      <w:b/>
                      <w:bCs/>
                    </w:rPr>
                  </w:pPr>
                  <w:proofErr w:type="spellStart"/>
                  <w:r w:rsidRPr="00E5571E">
                    <w:rPr>
                      <w:b/>
                      <w:bCs/>
                    </w:rPr>
                    <w:t>Purpose</w:t>
                  </w:r>
                  <w:proofErr w:type="spellEnd"/>
                  <w:r w:rsidRPr="00E5571E">
                    <w:rPr>
                      <w:b/>
                      <w:bCs/>
                    </w:rPr>
                    <w:t xml:space="preserve"> and Objectives</w:t>
                  </w:r>
                </w:p>
              </w:tc>
            </w:tr>
            <w:tr w:rsidR="00E5571E" w:rsidRPr="00E5571E" w14:paraId="1D624136" w14:textId="77777777" w:rsidTr="69A8F6F5">
              <w:trPr>
                <w:trHeight w:val="630"/>
              </w:trPr>
              <w:tc>
                <w:tcPr>
                  <w:tcW w:w="0" w:type="auto"/>
                  <w:gridSpan w:val="2"/>
                  <w:tcBorders>
                    <w:top w:val="nil"/>
                    <w:left w:val="nil"/>
                    <w:bottom w:val="nil"/>
                    <w:right w:val="nil"/>
                  </w:tcBorders>
                  <w:tcMar>
                    <w:top w:w="60" w:type="dxa"/>
                    <w:left w:w="330" w:type="dxa"/>
                    <w:bottom w:w="60" w:type="dxa"/>
                    <w:right w:w="330" w:type="dxa"/>
                  </w:tcMar>
                  <w:hideMark/>
                </w:tcPr>
                <w:p w14:paraId="6C914DCA" w14:textId="77777777" w:rsidR="00E5571E" w:rsidRPr="00E5571E" w:rsidRDefault="00E5571E" w:rsidP="00E5571E"/>
              </w:tc>
            </w:tr>
            <w:tr w:rsidR="00827824" w:rsidRPr="00E5571E" w14:paraId="410DD37B" w14:textId="77777777" w:rsidTr="69A8F6F5">
              <w:trPr>
                <w:trHeight w:val="450"/>
              </w:trPr>
              <w:tc>
                <w:tcPr>
                  <w:tcW w:w="0" w:type="auto"/>
                  <w:tcBorders>
                    <w:top w:val="nil"/>
                    <w:left w:val="nil"/>
                    <w:bottom w:val="nil"/>
                    <w:right w:val="nil"/>
                  </w:tcBorders>
                  <w:tcMar>
                    <w:top w:w="60" w:type="dxa"/>
                    <w:left w:w="330" w:type="dxa"/>
                    <w:bottom w:w="60" w:type="dxa"/>
                    <w:right w:w="75" w:type="dxa"/>
                  </w:tcMar>
                  <w:hideMark/>
                </w:tcPr>
                <w:p w14:paraId="5D6C6DC9" w14:textId="77777777" w:rsidR="00E5571E" w:rsidRPr="00747667" w:rsidRDefault="00E5571E" w:rsidP="00E5571E">
                  <w:pPr>
                    <w:rPr>
                      <w:sz w:val="24"/>
                      <w:szCs w:val="24"/>
                      <w:lang w:val="en-US"/>
                    </w:rPr>
                  </w:pPr>
                  <w:r w:rsidRPr="00747667">
                    <w:rPr>
                      <w:b/>
                      <w:bCs/>
                      <w:sz w:val="24"/>
                      <w:szCs w:val="24"/>
                      <w:lang w:val="en-US"/>
                    </w:rPr>
                    <w:t>Purpose:</w:t>
                  </w:r>
                </w:p>
                <w:p w14:paraId="2D2D3D1A" w14:textId="77777777" w:rsidR="00E5571E" w:rsidRPr="00747667" w:rsidRDefault="00E5571E" w:rsidP="00E5571E">
                  <w:pPr>
                    <w:rPr>
                      <w:sz w:val="24"/>
                      <w:szCs w:val="24"/>
                      <w:lang w:val="en-US"/>
                    </w:rPr>
                  </w:pPr>
                  <w:r w:rsidRPr="00747667">
                    <w:rPr>
                      <w:sz w:val="24"/>
                      <w:szCs w:val="24"/>
                      <w:highlight w:val="yellow"/>
                      <w:lang w:val="en-US"/>
                    </w:rPr>
                    <w:t>Specify how the CO intends to use the TRAC2 funds</w:t>
                  </w:r>
                </w:p>
                <w:p w14:paraId="3016CF39" w14:textId="77777777" w:rsidR="00747667" w:rsidRPr="005C4E0D" w:rsidRDefault="00191FF0" w:rsidP="00703E6F">
                  <w:pPr>
                    <w:jc w:val="both"/>
                    <w:rPr>
                      <w:b/>
                      <w:bCs/>
                      <w:sz w:val="24"/>
                      <w:szCs w:val="24"/>
                    </w:rPr>
                  </w:pPr>
                  <w:r w:rsidRPr="005C4E0D">
                    <w:rPr>
                      <w:b/>
                      <w:bCs/>
                      <w:sz w:val="24"/>
                      <w:szCs w:val="24"/>
                    </w:rPr>
                    <w:t xml:space="preserve">Contexte </w:t>
                  </w:r>
                </w:p>
                <w:p w14:paraId="0DF0D7E6" w14:textId="2F92DC36" w:rsidR="003903AD" w:rsidRPr="00747667" w:rsidRDefault="207785F1" w:rsidP="00703E6F">
                  <w:pPr>
                    <w:jc w:val="both"/>
                    <w:rPr>
                      <w:sz w:val="24"/>
                      <w:szCs w:val="24"/>
                    </w:rPr>
                  </w:pPr>
                  <w:r w:rsidRPr="00747667">
                    <w:rPr>
                      <w:sz w:val="24"/>
                      <w:szCs w:val="24"/>
                    </w:rPr>
                    <w:t xml:space="preserve">La </w:t>
                  </w:r>
                  <w:r w:rsidR="518B59D4" w:rsidRPr="00747667">
                    <w:rPr>
                      <w:sz w:val="24"/>
                      <w:szCs w:val="24"/>
                    </w:rPr>
                    <w:t xml:space="preserve">Zone de libre-échange </w:t>
                  </w:r>
                  <w:r w:rsidR="3B823988" w:rsidRPr="00747667">
                    <w:rPr>
                      <w:sz w:val="24"/>
                      <w:szCs w:val="24"/>
                    </w:rPr>
                    <w:t xml:space="preserve">continentale </w:t>
                  </w:r>
                  <w:r w:rsidR="518B59D4" w:rsidRPr="00747667">
                    <w:rPr>
                      <w:sz w:val="24"/>
                      <w:szCs w:val="24"/>
                    </w:rPr>
                    <w:t>africaine (</w:t>
                  </w:r>
                  <w:r w:rsidRPr="00747667">
                    <w:rPr>
                      <w:sz w:val="24"/>
                      <w:szCs w:val="24"/>
                    </w:rPr>
                    <w:t>ZLECAf</w:t>
                  </w:r>
                  <w:r w:rsidR="518B59D4" w:rsidRPr="00747667">
                    <w:rPr>
                      <w:sz w:val="24"/>
                      <w:szCs w:val="24"/>
                    </w:rPr>
                    <w:t>), lancée depuis le 1</w:t>
                  </w:r>
                  <w:r w:rsidR="518B59D4" w:rsidRPr="00747667">
                    <w:rPr>
                      <w:sz w:val="24"/>
                      <w:szCs w:val="24"/>
                      <w:vertAlign w:val="superscript"/>
                    </w:rPr>
                    <w:t>er</w:t>
                  </w:r>
                  <w:r w:rsidR="518B59D4" w:rsidRPr="00747667">
                    <w:rPr>
                      <w:sz w:val="24"/>
                      <w:szCs w:val="24"/>
                    </w:rPr>
                    <w:t xml:space="preserve"> janvier 2018,</w:t>
                  </w:r>
                  <w:r w:rsidRPr="00747667">
                    <w:rPr>
                      <w:sz w:val="24"/>
                      <w:szCs w:val="24"/>
                    </w:rPr>
                    <w:t xml:space="preserve"> est présentée comme une </w:t>
                  </w:r>
                  <w:r w:rsidRPr="005C4E0D">
                    <w:rPr>
                      <w:b/>
                      <w:bCs/>
                      <w:sz w:val="24"/>
                      <w:szCs w:val="24"/>
                    </w:rPr>
                    <w:t xml:space="preserve">opportunité </w:t>
                  </w:r>
                  <w:r w:rsidR="518B59D4" w:rsidRPr="005C4E0D">
                    <w:rPr>
                      <w:b/>
                      <w:bCs/>
                      <w:sz w:val="24"/>
                      <w:szCs w:val="24"/>
                    </w:rPr>
                    <w:t xml:space="preserve">de </w:t>
                  </w:r>
                  <w:r w:rsidR="00C320E5" w:rsidRPr="005C4E0D">
                    <w:rPr>
                      <w:b/>
                      <w:bCs/>
                      <w:sz w:val="24"/>
                      <w:szCs w:val="24"/>
                    </w:rPr>
                    <w:t xml:space="preserve">transformation économique et de </w:t>
                  </w:r>
                  <w:r w:rsidR="518B59D4" w:rsidRPr="005C4E0D">
                    <w:rPr>
                      <w:b/>
                      <w:bCs/>
                      <w:sz w:val="24"/>
                      <w:szCs w:val="24"/>
                    </w:rPr>
                    <w:t>croissance inclusive</w:t>
                  </w:r>
                  <w:r w:rsidR="518B59D4" w:rsidRPr="00747667">
                    <w:rPr>
                      <w:sz w:val="24"/>
                      <w:szCs w:val="24"/>
                    </w:rPr>
                    <w:t xml:space="preserve"> </w:t>
                  </w:r>
                  <w:r w:rsidRPr="00747667">
                    <w:rPr>
                      <w:sz w:val="24"/>
                      <w:szCs w:val="24"/>
                    </w:rPr>
                    <w:t xml:space="preserve">pour les pays africains </w:t>
                  </w:r>
                  <w:r w:rsidR="00C76F39" w:rsidRPr="00747667">
                    <w:rPr>
                      <w:sz w:val="24"/>
                      <w:szCs w:val="24"/>
                    </w:rPr>
                    <w:t xml:space="preserve">grâce à la </w:t>
                  </w:r>
                  <w:r w:rsidRPr="00747667">
                    <w:rPr>
                      <w:sz w:val="24"/>
                      <w:szCs w:val="24"/>
                    </w:rPr>
                    <w:t>libér</w:t>
                  </w:r>
                  <w:r w:rsidR="4B1B6091" w:rsidRPr="00747667">
                    <w:rPr>
                      <w:sz w:val="24"/>
                      <w:szCs w:val="24"/>
                    </w:rPr>
                    <w:t>a</w:t>
                  </w:r>
                  <w:r w:rsidR="05040211" w:rsidRPr="00747667">
                    <w:rPr>
                      <w:sz w:val="24"/>
                      <w:szCs w:val="24"/>
                    </w:rPr>
                    <w:t>lisation</w:t>
                  </w:r>
                  <w:r w:rsidRPr="00747667">
                    <w:rPr>
                      <w:sz w:val="24"/>
                      <w:szCs w:val="24"/>
                    </w:rPr>
                    <w:t xml:space="preserve"> </w:t>
                  </w:r>
                  <w:r w:rsidR="23CB0B22" w:rsidRPr="00747667">
                    <w:rPr>
                      <w:sz w:val="24"/>
                      <w:szCs w:val="24"/>
                    </w:rPr>
                    <w:t>du</w:t>
                  </w:r>
                  <w:r w:rsidRPr="00747667">
                    <w:rPr>
                      <w:sz w:val="24"/>
                      <w:szCs w:val="24"/>
                    </w:rPr>
                    <w:t xml:space="preserve"> commerce transfrontalier, </w:t>
                  </w:r>
                  <w:r w:rsidR="2FC572BE" w:rsidRPr="00747667">
                    <w:rPr>
                      <w:sz w:val="24"/>
                      <w:szCs w:val="24"/>
                    </w:rPr>
                    <w:t>la création</w:t>
                  </w:r>
                  <w:r w:rsidRPr="00747667">
                    <w:rPr>
                      <w:sz w:val="24"/>
                      <w:szCs w:val="24"/>
                    </w:rPr>
                    <w:t xml:space="preserve"> de nouvelles richesses</w:t>
                  </w:r>
                  <w:r w:rsidR="74D335D2" w:rsidRPr="00747667">
                    <w:rPr>
                      <w:sz w:val="24"/>
                      <w:szCs w:val="24"/>
                    </w:rPr>
                    <w:t xml:space="preserve"> notamment pour les </w:t>
                  </w:r>
                  <w:r w:rsidR="00C320E5" w:rsidRPr="00747667">
                    <w:rPr>
                      <w:sz w:val="24"/>
                      <w:szCs w:val="24"/>
                    </w:rPr>
                    <w:t>jeunes et les femmes</w:t>
                  </w:r>
                  <w:r w:rsidRPr="00747667">
                    <w:rPr>
                      <w:sz w:val="24"/>
                      <w:szCs w:val="24"/>
                    </w:rPr>
                    <w:t xml:space="preserve">, </w:t>
                  </w:r>
                  <w:r w:rsidR="5C746E9F" w:rsidRPr="00747667">
                    <w:rPr>
                      <w:sz w:val="24"/>
                      <w:szCs w:val="24"/>
                    </w:rPr>
                    <w:t>la stimulation et la circulation d’</w:t>
                  </w:r>
                  <w:r w:rsidRPr="00747667">
                    <w:rPr>
                      <w:sz w:val="24"/>
                      <w:szCs w:val="24"/>
                    </w:rPr>
                    <w:t>innovation</w:t>
                  </w:r>
                  <w:r w:rsidR="6D9E99A1" w:rsidRPr="00747667">
                    <w:rPr>
                      <w:sz w:val="24"/>
                      <w:szCs w:val="24"/>
                    </w:rPr>
                    <w:t>s</w:t>
                  </w:r>
                  <w:r w:rsidRPr="00747667">
                    <w:rPr>
                      <w:sz w:val="24"/>
                      <w:szCs w:val="24"/>
                    </w:rPr>
                    <w:t xml:space="preserve"> et</w:t>
                  </w:r>
                  <w:r w:rsidR="13DEE855" w:rsidRPr="00747667">
                    <w:rPr>
                      <w:sz w:val="24"/>
                      <w:szCs w:val="24"/>
                    </w:rPr>
                    <w:t xml:space="preserve"> l’</w:t>
                  </w:r>
                  <w:r w:rsidR="4B1B6091" w:rsidRPr="00747667">
                    <w:rPr>
                      <w:sz w:val="24"/>
                      <w:szCs w:val="24"/>
                    </w:rPr>
                    <w:t>accompagn</w:t>
                  </w:r>
                  <w:r w:rsidR="201A89E1" w:rsidRPr="00747667">
                    <w:rPr>
                      <w:sz w:val="24"/>
                      <w:szCs w:val="24"/>
                    </w:rPr>
                    <w:t>ement</w:t>
                  </w:r>
                  <w:r w:rsidR="4B1B6091" w:rsidRPr="00747667">
                    <w:rPr>
                      <w:sz w:val="24"/>
                      <w:szCs w:val="24"/>
                    </w:rPr>
                    <w:t xml:space="preserve"> </w:t>
                  </w:r>
                  <w:r w:rsidR="00C320E5" w:rsidRPr="00747667">
                    <w:rPr>
                      <w:sz w:val="24"/>
                      <w:szCs w:val="24"/>
                    </w:rPr>
                    <w:t>les</w:t>
                  </w:r>
                  <w:r w:rsidRPr="00747667">
                    <w:rPr>
                      <w:sz w:val="24"/>
                      <w:szCs w:val="24"/>
                    </w:rPr>
                    <w:t xml:space="preserve"> entrepreneures</w:t>
                  </w:r>
                  <w:r w:rsidR="4B1B6091" w:rsidRPr="00747667">
                    <w:rPr>
                      <w:sz w:val="24"/>
                      <w:szCs w:val="24"/>
                    </w:rPr>
                    <w:t xml:space="preserve"> </w:t>
                  </w:r>
                  <w:r w:rsidR="67BC355F" w:rsidRPr="00747667">
                    <w:rPr>
                      <w:sz w:val="24"/>
                      <w:szCs w:val="24"/>
                    </w:rPr>
                    <w:t xml:space="preserve">notamment </w:t>
                  </w:r>
                  <w:r w:rsidR="4B1B6091" w:rsidRPr="00747667">
                    <w:rPr>
                      <w:sz w:val="24"/>
                      <w:szCs w:val="24"/>
                    </w:rPr>
                    <w:t>dans le</w:t>
                  </w:r>
                  <w:r w:rsidR="00C76F39" w:rsidRPr="00747667">
                    <w:rPr>
                      <w:sz w:val="24"/>
                      <w:szCs w:val="24"/>
                    </w:rPr>
                    <w:t xml:space="preserve"> développement de leurs </w:t>
                  </w:r>
                  <w:r w:rsidR="4B1B6091" w:rsidRPr="00747667">
                    <w:rPr>
                      <w:sz w:val="24"/>
                      <w:szCs w:val="24"/>
                    </w:rPr>
                    <w:t>projets et leur accès aux marchés</w:t>
                  </w:r>
                  <w:r w:rsidR="193DCD29" w:rsidRPr="00747667">
                    <w:rPr>
                      <w:sz w:val="24"/>
                      <w:szCs w:val="24"/>
                    </w:rPr>
                    <w:t xml:space="preserve">. </w:t>
                  </w:r>
                  <w:r w:rsidR="00C76F39" w:rsidRPr="00747667">
                    <w:rPr>
                      <w:sz w:val="24"/>
                      <w:szCs w:val="24"/>
                    </w:rPr>
                    <w:t>L</w:t>
                  </w:r>
                  <w:r w:rsidR="193DCD29" w:rsidRPr="00747667">
                    <w:rPr>
                      <w:sz w:val="24"/>
                      <w:szCs w:val="24"/>
                    </w:rPr>
                    <w:t xml:space="preserve">es échanges commerciaux de tous types de </w:t>
                  </w:r>
                  <w:r w:rsidR="193DCD29" w:rsidRPr="00747667">
                    <w:rPr>
                      <w:sz w:val="24"/>
                      <w:szCs w:val="24"/>
                    </w:rPr>
                    <w:lastRenderedPageBreak/>
                    <w:t>marchandises et de services viennent soutenir les efforts déployés pour atteindre les Objectifs de développement durable</w:t>
                  </w:r>
                  <w:r w:rsidR="00C76F39" w:rsidRPr="00747667">
                    <w:rPr>
                      <w:sz w:val="24"/>
                      <w:szCs w:val="24"/>
                    </w:rPr>
                    <w:t xml:space="preserve"> (ODD)</w:t>
                  </w:r>
                  <w:r w:rsidR="193DCD29" w:rsidRPr="00747667">
                    <w:rPr>
                      <w:sz w:val="24"/>
                      <w:szCs w:val="24"/>
                    </w:rPr>
                    <w:t>, et l’Agenda 2063 de l’Union africaine ne pourr</w:t>
                  </w:r>
                  <w:r w:rsidR="0A9A0AA7" w:rsidRPr="00747667">
                    <w:rPr>
                      <w:sz w:val="24"/>
                      <w:szCs w:val="24"/>
                    </w:rPr>
                    <w:t>a</w:t>
                  </w:r>
                  <w:r w:rsidR="193DCD29" w:rsidRPr="00747667">
                    <w:rPr>
                      <w:sz w:val="24"/>
                      <w:szCs w:val="24"/>
                    </w:rPr>
                    <w:t xml:space="preserve"> être mené à bien sans la ZLECAf</w:t>
                  </w:r>
                  <w:r w:rsidR="09B89115" w:rsidRPr="00747667">
                    <w:rPr>
                      <w:sz w:val="24"/>
                      <w:szCs w:val="24"/>
                    </w:rPr>
                    <w:t>.</w:t>
                  </w:r>
                </w:p>
                <w:p w14:paraId="642FA063" w14:textId="05AAD35C" w:rsidR="00E85F1D" w:rsidRPr="00D74E90" w:rsidRDefault="00E85F1D" w:rsidP="00E85F1D">
                  <w:pPr>
                    <w:jc w:val="both"/>
                    <w:rPr>
                      <w:rFonts w:eastAsia="Calibri"/>
                      <w:color w:val="000000" w:themeColor="text1"/>
                      <w:spacing w:val="4"/>
                      <w:w w:val="103"/>
                      <w:kern w:val="14"/>
                      <w:sz w:val="24"/>
                      <w:szCs w:val="24"/>
                    </w:rPr>
                  </w:pPr>
                  <w:r w:rsidRPr="00747667">
                    <w:rPr>
                      <w:b/>
                      <w:bCs/>
                      <w:sz w:val="24"/>
                      <w:szCs w:val="24"/>
                    </w:rPr>
                    <w:t>Le Plan Comores Emergent</w:t>
                  </w:r>
                  <w:r w:rsidRPr="00747667">
                    <w:rPr>
                      <w:sz w:val="24"/>
                      <w:szCs w:val="24"/>
                    </w:rPr>
                    <w:t xml:space="preserve">, qui détaille la vision du gouvernement </w:t>
                  </w:r>
                  <w:r w:rsidR="00B118FE" w:rsidRPr="00747667">
                    <w:rPr>
                      <w:sz w:val="24"/>
                      <w:szCs w:val="24"/>
                    </w:rPr>
                    <w:t xml:space="preserve">de l’Union des Comores </w:t>
                  </w:r>
                  <w:r w:rsidRPr="00747667">
                    <w:rPr>
                      <w:sz w:val="24"/>
                      <w:szCs w:val="24"/>
                    </w:rPr>
                    <w:t xml:space="preserve">pour le développement durable du pays à l’horizon 2030, </w:t>
                  </w:r>
                  <w:r w:rsidRPr="00747667">
                    <w:rPr>
                      <w:b/>
                      <w:bCs/>
                      <w:sz w:val="24"/>
                      <w:szCs w:val="24"/>
                    </w:rPr>
                    <w:t>prévoit des transformations importantes</w:t>
                  </w:r>
                  <w:r w:rsidR="00D74E90">
                    <w:rPr>
                      <w:sz w:val="24"/>
                      <w:szCs w:val="24"/>
                    </w:rPr>
                    <w:t>,</w:t>
                  </w:r>
                  <w:r w:rsidR="00D74E90" w:rsidRPr="00747667">
                    <w:rPr>
                      <w:sz w:val="24"/>
                      <w:szCs w:val="24"/>
                    </w:rPr>
                    <w:t xml:space="preserve"> nécessaires</w:t>
                  </w:r>
                  <w:r w:rsidR="00D74E90">
                    <w:rPr>
                      <w:sz w:val="24"/>
                      <w:szCs w:val="24"/>
                    </w:rPr>
                    <w:t xml:space="preserve"> et ambitieuses</w:t>
                  </w:r>
                  <w:r w:rsidRPr="00747667">
                    <w:rPr>
                      <w:sz w:val="24"/>
                      <w:szCs w:val="24"/>
                    </w:rPr>
                    <w:t xml:space="preserve"> de son économie</w:t>
                  </w:r>
                  <w:r w:rsidR="00D74E90">
                    <w:rPr>
                      <w:sz w:val="24"/>
                      <w:szCs w:val="24"/>
                    </w:rPr>
                    <w:t xml:space="preserve"> </w:t>
                  </w:r>
                  <w:r w:rsidR="009F1065">
                    <w:rPr>
                      <w:sz w:val="24"/>
                      <w:szCs w:val="24"/>
                    </w:rPr>
                    <w:t>afin d’</w:t>
                  </w:r>
                  <w:r w:rsidR="00D74E90">
                    <w:rPr>
                      <w:sz w:val="24"/>
                      <w:szCs w:val="24"/>
                    </w:rPr>
                    <w:t>atteindre une croissance favorable à toutes et à tous</w:t>
                  </w:r>
                  <w:r w:rsidR="009F1065">
                    <w:rPr>
                      <w:sz w:val="24"/>
                      <w:szCs w:val="24"/>
                    </w:rPr>
                    <w:t>,</w:t>
                  </w:r>
                  <w:r w:rsidR="00410DA6">
                    <w:rPr>
                      <w:sz w:val="24"/>
                      <w:szCs w:val="24"/>
                    </w:rPr>
                    <w:t xml:space="preserve"> en réduisant notamment sa</w:t>
                  </w:r>
                  <w:r w:rsidRPr="00747667">
                    <w:rPr>
                      <w:rFonts w:eastAsia="Calibri"/>
                      <w:color w:val="000000" w:themeColor="text1"/>
                      <w:spacing w:val="4"/>
                      <w:w w:val="103"/>
                      <w:kern w:val="14"/>
                      <w:sz w:val="24"/>
                      <w:szCs w:val="24"/>
                    </w:rPr>
                    <w:t xml:space="preserve"> forte dépendance vis-à-vis des partenaires mondiaux</w:t>
                  </w:r>
                  <w:r w:rsidRPr="00D74E90">
                    <w:rPr>
                      <w:rFonts w:eastAsia="Calibri"/>
                      <w:color w:val="000000" w:themeColor="text1"/>
                      <w:spacing w:val="4"/>
                      <w:w w:val="103"/>
                      <w:kern w:val="14"/>
                      <w:sz w:val="24"/>
                      <w:szCs w:val="24"/>
                    </w:rPr>
                    <w:t xml:space="preserve"> </w:t>
                  </w:r>
                  <w:r w:rsidRPr="00D74E90">
                    <w:rPr>
                      <w:rFonts w:ascii="Calibri" w:eastAsia="Calibri" w:hAnsi="Calibri" w:cs="Calibri"/>
                      <w:color w:val="000000" w:themeColor="text1"/>
                      <w:sz w:val="24"/>
                      <w:szCs w:val="24"/>
                    </w:rPr>
                    <w:t>dans des domaines liés au développement aussi variés que</w:t>
                  </w:r>
                  <w:r w:rsidRPr="00D74E90">
                    <w:rPr>
                      <w:rFonts w:eastAsia="Calibri"/>
                      <w:color w:val="000000" w:themeColor="text1"/>
                      <w:spacing w:val="4"/>
                      <w:w w:val="103"/>
                      <w:kern w:val="14"/>
                      <w:sz w:val="24"/>
                      <w:szCs w:val="24"/>
                    </w:rPr>
                    <w:t xml:space="preserve"> le commerce, le tourisme, les envois de fonds, les services financiers et les financements concessionnels. </w:t>
                  </w:r>
                </w:p>
                <w:p w14:paraId="2EB21C64" w14:textId="601D171D" w:rsidR="00AF2D16" w:rsidRPr="00747667" w:rsidRDefault="00E85F1D" w:rsidP="00747667">
                  <w:pPr>
                    <w:jc w:val="both"/>
                    <w:rPr>
                      <w:sz w:val="24"/>
                      <w:szCs w:val="24"/>
                    </w:rPr>
                  </w:pPr>
                  <w:r w:rsidRPr="00747667">
                    <w:rPr>
                      <w:rFonts w:eastAsia="Calibri"/>
                      <w:b/>
                      <w:bCs/>
                      <w:color w:val="000000" w:themeColor="text1"/>
                      <w:spacing w:val="4"/>
                      <w:w w:val="103"/>
                      <w:kern w:val="14"/>
                      <w:sz w:val="24"/>
                      <w:szCs w:val="24"/>
                    </w:rPr>
                    <w:t>L’intégration au sein de la zone de libre-échange permettra de dépasser certaines de ces limites structurelles</w:t>
                  </w:r>
                  <w:r w:rsidR="004A09AE">
                    <w:rPr>
                      <w:rFonts w:eastAsia="Calibri"/>
                      <w:b/>
                      <w:bCs/>
                      <w:color w:val="000000" w:themeColor="text1"/>
                      <w:spacing w:val="4"/>
                      <w:w w:val="103"/>
                      <w:kern w:val="14"/>
                      <w:sz w:val="24"/>
                      <w:szCs w:val="24"/>
                    </w:rPr>
                    <w:t xml:space="preserve">, </w:t>
                  </w:r>
                  <w:r w:rsidRPr="00747667">
                    <w:rPr>
                      <w:rFonts w:eastAsia="Calibri"/>
                      <w:b/>
                      <w:bCs/>
                      <w:color w:val="000000" w:themeColor="text1"/>
                      <w:spacing w:val="4"/>
                      <w:w w:val="103"/>
                      <w:kern w:val="14"/>
                      <w:sz w:val="24"/>
                      <w:szCs w:val="24"/>
                    </w:rPr>
                    <w:t>d’atténuer plusieurs sources de vulnérabilités auxquelles les Comores sont confrontées</w:t>
                  </w:r>
                  <w:r w:rsidR="004A09AE">
                    <w:rPr>
                      <w:rFonts w:eastAsia="Calibri"/>
                      <w:b/>
                      <w:bCs/>
                      <w:color w:val="000000" w:themeColor="text1"/>
                      <w:spacing w:val="4"/>
                      <w:w w:val="103"/>
                      <w:kern w:val="14"/>
                      <w:sz w:val="24"/>
                      <w:szCs w:val="24"/>
                    </w:rPr>
                    <w:t xml:space="preserve"> et de </w:t>
                  </w:r>
                  <w:r w:rsidR="004A09AE" w:rsidRPr="00CB7840">
                    <w:rPr>
                      <w:rFonts w:eastAsia="Calibri"/>
                      <w:b/>
                      <w:bCs/>
                      <w:spacing w:val="4"/>
                      <w:w w:val="103"/>
                      <w:kern w:val="14"/>
                      <w:sz w:val="24"/>
                      <w:szCs w:val="24"/>
                    </w:rPr>
                    <w:t>permettre aux jeunes et aux femmes du pays de tirer avantage de ce nouveau marché</w:t>
                  </w:r>
                  <w:r w:rsidR="004A09AE">
                    <w:rPr>
                      <w:rFonts w:eastAsia="Calibri"/>
                      <w:b/>
                      <w:bCs/>
                      <w:spacing w:val="4"/>
                      <w:w w:val="103"/>
                      <w:kern w:val="14"/>
                      <w:sz w:val="24"/>
                      <w:szCs w:val="24"/>
                    </w:rPr>
                    <w:t xml:space="preserve"> qui s’offre à eux</w:t>
                  </w:r>
                  <w:r w:rsidR="008760A5">
                    <w:rPr>
                      <w:rFonts w:eastAsia="Calibri"/>
                      <w:b/>
                      <w:bCs/>
                      <w:spacing w:val="4"/>
                      <w:w w:val="103"/>
                      <w:kern w:val="14"/>
                      <w:sz w:val="24"/>
                      <w:szCs w:val="24"/>
                    </w:rPr>
                    <w:t>.</w:t>
                  </w:r>
                  <w:r w:rsidRPr="00D74E90">
                    <w:rPr>
                      <w:rFonts w:eastAsia="Calibri"/>
                      <w:color w:val="000000" w:themeColor="text1"/>
                      <w:spacing w:val="4"/>
                      <w:w w:val="103"/>
                      <w:kern w:val="14"/>
                      <w:sz w:val="24"/>
                      <w:szCs w:val="24"/>
                    </w:rPr>
                    <w:t xml:space="preserve"> U</w:t>
                  </w:r>
                  <w:r w:rsidRPr="00D74E90">
                    <w:rPr>
                      <w:rFonts w:eastAsia="Calibri"/>
                      <w:spacing w:val="4"/>
                      <w:w w:val="103"/>
                      <w:kern w:val="14"/>
                      <w:sz w:val="24"/>
                      <w:szCs w:val="24"/>
                    </w:rPr>
                    <w:t>ne étude de la CEA (2021) prévoit par exemple que les Comores connaîtront une augmentation du trafic dans ses ports d'ici 2030 en raison de la ZLECAf, améliorant la connectivité avec le continent africain. Cette opportunité</w:t>
                  </w:r>
                  <w:r w:rsidR="00BE5D78">
                    <w:rPr>
                      <w:rFonts w:eastAsia="Calibri"/>
                      <w:spacing w:val="4"/>
                      <w:w w:val="103"/>
                      <w:kern w:val="14"/>
                      <w:sz w:val="24"/>
                      <w:szCs w:val="24"/>
                    </w:rPr>
                    <w:t xml:space="preserve"> liée à des investissements dans les infrastructures de transport</w:t>
                  </w:r>
                  <w:r w:rsidRPr="00D74E90">
                    <w:rPr>
                      <w:rFonts w:eastAsia="Calibri"/>
                      <w:spacing w:val="4"/>
                      <w:w w:val="103"/>
                      <w:kern w:val="14"/>
                      <w:sz w:val="24"/>
                      <w:szCs w:val="24"/>
                    </w:rPr>
                    <w:t xml:space="preserve"> est d’ailleurs alignée avec les Objectifs du Gouvernement inscrits dans le Plan Comores émergent (PCE), notamment concernant la valorisation de l’ensemble des activités liées à l’économie bleue. </w:t>
                  </w:r>
                </w:p>
                <w:p w14:paraId="21C540F1" w14:textId="2AFD08A5" w:rsidR="00213AC5" w:rsidRPr="00D74E90" w:rsidRDefault="002B7BCC" w:rsidP="00AF2D16">
                  <w:pPr>
                    <w:jc w:val="both"/>
                    <w:rPr>
                      <w:sz w:val="24"/>
                      <w:szCs w:val="24"/>
                    </w:rPr>
                  </w:pPr>
                  <w:r w:rsidRPr="000677D6">
                    <w:rPr>
                      <w:rFonts w:eastAsia="Calibri"/>
                      <w:b/>
                      <w:bCs/>
                      <w:spacing w:val="4"/>
                      <w:w w:val="103"/>
                      <w:kern w:val="14"/>
                      <w:sz w:val="24"/>
                      <w:szCs w:val="24"/>
                    </w:rPr>
                    <w:t>Toutefois, si</w:t>
                  </w:r>
                  <w:r w:rsidR="00410DA6" w:rsidRPr="000677D6">
                    <w:rPr>
                      <w:rFonts w:eastAsia="Calibri"/>
                      <w:b/>
                      <w:bCs/>
                      <w:spacing w:val="4"/>
                      <w:w w:val="103"/>
                      <w:kern w:val="14"/>
                      <w:sz w:val="24"/>
                      <w:szCs w:val="24"/>
                    </w:rPr>
                    <w:t xml:space="preserve"> l</w:t>
                  </w:r>
                  <w:r w:rsidR="0DA67E57" w:rsidRPr="000677D6">
                    <w:rPr>
                      <w:rFonts w:eastAsia="Calibri"/>
                      <w:b/>
                      <w:bCs/>
                      <w:spacing w:val="4"/>
                      <w:w w:val="103"/>
                      <w:kern w:val="14"/>
                      <w:sz w:val="24"/>
                      <w:szCs w:val="24"/>
                    </w:rPr>
                    <w:t>e</w:t>
                  </w:r>
                  <w:r w:rsidR="3EB0B684" w:rsidRPr="000677D6">
                    <w:rPr>
                      <w:rFonts w:eastAsia="Calibri"/>
                      <w:b/>
                      <w:bCs/>
                      <w:spacing w:val="4"/>
                      <w:w w:val="103"/>
                      <w:kern w:val="14"/>
                      <w:sz w:val="24"/>
                      <w:szCs w:val="24"/>
                    </w:rPr>
                    <w:t>s Comores ont signé l'accord AFCTA</w:t>
                  </w:r>
                  <w:r w:rsidR="00410DA6" w:rsidRPr="000677D6">
                    <w:rPr>
                      <w:rFonts w:eastAsia="Calibri"/>
                      <w:b/>
                      <w:bCs/>
                      <w:spacing w:val="4"/>
                      <w:w w:val="103"/>
                      <w:kern w:val="14"/>
                      <w:sz w:val="24"/>
                      <w:szCs w:val="24"/>
                    </w:rPr>
                    <w:t xml:space="preserve">, elles </w:t>
                  </w:r>
                  <w:r w:rsidR="3EB0B684" w:rsidRPr="000677D6">
                    <w:rPr>
                      <w:rFonts w:eastAsia="Calibri"/>
                      <w:b/>
                      <w:bCs/>
                      <w:spacing w:val="4"/>
                      <w:w w:val="103"/>
                      <w:kern w:val="14"/>
                      <w:sz w:val="24"/>
                      <w:szCs w:val="24"/>
                    </w:rPr>
                    <w:t>ne l’ont pas encore ratifié</w:t>
                  </w:r>
                  <w:r w:rsidR="3EB0B684" w:rsidRPr="00D74E90">
                    <w:rPr>
                      <w:rFonts w:eastAsia="Calibri"/>
                      <w:spacing w:val="4"/>
                      <w:w w:val="103"/>
                      <w:kern w:val="14"/>
                      <w:sz w:val="24"/>
                      <w:szCs w:val="24"/>
                    </w:rPr>
                    <w:t>. D</w:t>
                  </w:r>
                  <w:r w:rsidR="3EB0B684" w:rsidRPr="00D74E90">
                    <w:rPr>
                      <w:sz w:val="24"/>
                      <w:szCs w:val="24"/>
                    </w:rPr>
                    <w:t>epuis 2019, le gouvernement comorien a engagé des discussions avec des partenaires publics et privés ainsi qu’avec la société civile, ses partenaires au développement</w:t>
                  </w:r>
                  <w:r w:rsidR="00410DA6">
                    <w:rPr>
                      <w:sz w:val="24"/>
                      <w:szCs w:val="24"/>
                    </w:rPr>
                    <w:t>, les autres PIED africains</w:t>
                  </w:r>
                  <w:r w:rsidR="3EB0B684" w:rsidRPr="00D74E90">
                    <w:rPr>
                      <w:sz w:val="24"/>
                      <w:szCs w:val="24"/>
                    </w:rPr>
                    <w:t xml:space="preserve"> et les organes internationaux comme la CEA</w:t>
                  </w:r>
                  <w:r w:rsidR="00724019">
                    <w:rPr>
                      <w:sz w:val="24"/>
                      <w:szCs w:val="24"/>
                    </w:rPr>
                    <w:t>, le PNUD et d’autres agences des Nations Unies</w:t>
                  </w:r>
                  <w:r w:rsidR="00191FF0">
                    <w:rPr>
                      <w:sz w:val="24"/>
                      <w:szCs w:val="24"/>
                    </w:rPr>
                    <w:t xml:space="preserve"> </w:t>
                  </w:r>
                  <w:r w:rsidR="3EB0B684" w:rsidRPr="00D74E90">
                    <w:rPr>
                      <w:sz w:val="24"/>
                      <w:szCs w:val="24"/>
                    </w:rPr>
                    <w:t>pour définir une intégration concrète et graduelle, compatible avec les autres engagements régionaux du pays</w:t>
                  </w:r>
                  <w:r w:rsidR="00BE5D78">
                    <w:rPr>
                      <w:sz w:val="24"/>
                      <w:szCs w:val="24"/>
                    </w:rPr>
                    <w:t>, l’adhésion en cours du pays à l’Organisation Mondiale du Commerce (OMC)</w:t>
                  </w:r>
                  <w:r w:rsidR="3EB0B684" w:rsidRPr="00D74E90">
                    <w:rPr>
                      <w:sz w:val="24"/>
                      <w:szCs w:val="24"/>
                    </w:rPr>
                    <w:t xml:space="preserve"> et aligné avec les objectifs de développement qu’il s’est fixé à l’horizon 2030</w:t>
                  </w:r>
                  <w:r w:rsidR="00E04280">
                    <w:rPr>
                      <w:sz w:val="24"/>
                      <w:szCs w:val="24"/>
                    </w:rPr>
                    <w:t xml:space="preserve">. </w:t>
                  </w:r>
                  <w:r w:rsidR="3EB0B684" w:rsidRPr="00D74E90">
                    <w:rPr>
                      <w:sz w:val="24"/>
                      <w:szCs w:val="24"/>
                    </w:rPr>
                    <w:t xml:space="preserve"> </w:t>
                  </w:r>
                </w:p>
                <w:p w14:paraId="68131F4C" w14:textId="29F4477D" w:rsidR="00AF2D16" w:rsidRDefault="00AF2D16" w:rsidP="002B7BCC">
                  <w:pPr>
                    <w:spacing w:line="276" w:lineRule="auto"/>
                    <w:jc w:val="both"/>
                    <w:rPr>
                      <w:b/>
                      <w:bCs/>
                      <w:sz w:val="24"/>
                      <w:szCs w:val="24"/>
                    </w:rPr>
                  </w:pPr>
                  <w:r w:rsidRPr="00D74E90">
                    <w:rPr>
                      <w:sz w:val="24"/>
                      <w:szCs w:val="24"/>
                    </w:rPr>
                    <w:t xml:space="preserve">Dans </w:t>
                  </w:r>
                  <w:r w:rsidR="00E04280">
                    <w:rPr>
                      <w:sz w:val="24"/>
                      <w:szCs w:val="24"/>
                    </w:rPr>
                    <w:t>cette optique</w:t>
                  </w:r>
                  <w:r w:rsidRPr="00D74E90">
                    <w:rPr>
                      <w:sz w:val="24"/>
                      <w:szCs w:val="24"/>
                    </w:rPr>
                    <w:t>,</w:t>
                  </w:r>
                  <w:r w:rsidR="006B7FE4" w:rsidRPr="00D74E90">
                    <w:rPr>
                      <w:sz w:val="24"/>
                      <w:szCs w:val="24"/>
                    </w:rPr>
                    <w:t xml:space="preserve"> le </w:t>
                  </w:r>
                  <w:r w:rsidR="00191FF0">
                    <w:rPr>
                      <w:sz w:val="24"/>
                      <w:szCs w:val="24"/>
                    </w:rPr>
                    <w:t>gouvernement</w:t>
                  </w:r>
                  <w:r w:rsidR="006B7FE4" w:rsidRPr="00D74E90">
                    <w:rPr>
                      <w:sz w:val="24"/>
                      <w:szCs w:val="24"/>
                    </w:rPr>
                    <w:t xml:space="preserve"> </w:t>
                  </w:r>
                  <w:r w:rsidR="00191FF0" w:rsidRPr="00191FF0">
                    <w:rPr>
                      <w:rFonts w:ascii="Calibri" w:eastAsia="Times New Roman" w:hAnsi="Calibri" w:cs="Arial"/>
                      <w:color w:val="000000"/>
                    </w:rPr>
                    <w:t xml:space="preserve">avec l`appui du PNUD, de l`UNECA et du </w:t>
                  </w:r>
                  <w:r w:rsidR="00191FF0">
                    <w:rPr>
                      <w:rFonts w:ascii="Calibri" w:eastAsia="Times New Roman" w:hAnsi="Calibri" w:cs="Arial"/>
                      <w:color w:val="000000"/>
                    </w:rPr>
                    <w:t>Bureau du Coordonnateur Résident (</w:t>
                  </w:r>
                  <w:r w:rsidR="00191FF0" w:rsidRPr="00191FF0">
                    <w:rPr>
                      <w:rFonts w:ascii="Calibri" w:eastAsia="Times New Roman" w:hAnsi="Calibri" w:cs="Arial"/>
                      <w:color w:val="000000"/>
                    </w:rPr>
                    <w:t>RCO</w:t>
                  </w:r>
                  <w:r w:rsidR="00191FF0">
                    <w:rPr>
                      <w:rFonts w:ascii="Calibri" w:eastAsia="Times New Roman" w:hAnsi="Calibri" w:cs="Arial"/>
                      <w:color w:val="000000"/>
                    </w:rPr>
                    <w:t>)</w:t>
                  </w:r>
                  <w:r w:rsidR="00191FF0" w:rsidRPr="00D74E90">
                    <w:rPr>
                      <w:sz w:val="24"/>
                      <w:szCs w:val="24"/>
                    </w:rPr>
                    <w:t xml:space="preserve"> </w:t>
                  </w:r>
                  <w:r w:rsidR="00E04280">
                    <w:rPr>
                      <w:sz w:val="24"/>
                      <w:szCs w:val="24"/>
                    </w:rPr>
                    <w:t>et</w:t>
                  </w:r>
                  <w:r w:rsidR="00885A90">
                    <w:rPr>
                      <w:sz w:val="24"/>
                      <w:szCs w:val="24"/>
                    </w:rPr>
                    <w:t xml:space="preserve"> de</w:t>
                  </w:r>
                  <w:r w:rsidR="00E04280">
                    <w:rPr>
                      <w:sz w:val="24"/>
                      <w:szCs w:val="24"/>
                    </w:rPr>
                    <w:t xml:space="preserve"> </w:t>
                  </w:r>
                  <w:r w:rsidRPr="00D74E90">
                    <w:rPr>
                      <w:sz w:val="24"/>
                      <w:szCs w:val="24"/>
                    </w:rPr>
                    <w:t xml:space="preserve">la CNUCED, organise </w:t>
                  </w:r>
                  <w:r w:rsidR="00E04280">
                    <w:rPr>
                      <w:sz w:val="24"/>
                      <w:szCs w:val="24"/>
                    </w:rPr>
                    <w:t xml:space="preserve">en mars prochain </w:t>
                  </w:r>
                  <w:r w:rsidRPr="00D74E90">
                    <w:rPr>
                      <w:sz w:val="24"/>
                      <w:szCs w:val="24"/>
                    </w:rPr>
                    <w:t>un atelier</w:t>
                  </w:r>
                  <w:r w:rsidR="006B7FE4" w:rsidRPr="00D74E90">
                    <w:rPr>
                      <w:sz w:val="24"/>
                      <w:szCs w:val="24"/>
                    </w:rPr>
                    <w:t xml:space="preserve"> d</w:t>
                  </w:r>
                  <w:r w:rsidR="00E04280">
                    <w:rPr>
                      <w:sz w:val="24"/>
                      <w:szCs w:val="24"/>
                    </w:rPr>
                    <w:t>e</w:t>
                  </w:r>
                  <w:r w:rsidR="00BE5D78">
                    <w:rPr>
                      <w:sz w:val="24"/>
                      <w:szCs w:val="24"/>
                    </w:rPr>
                    <w:t xml:space="preserve"> </w:t>
                  </w:r>
                  <w:r w:rsidR="006B7FE4" w:rsidRPr="00D74E90">
                    <w:rPr>
                      <w:sz w:val="24"/>
                      <w:szCs w:val="24"/>
                    </w:rPr>
                    <w:t>haut niveau sous le Par</w:t>
                  </w:r>
                  <w:r w:rsidR="00E04280">
                    <w:rPr>
                      <w:sz w:val="24"/>
                      <w:szCs w:val="24"/>
                    </w:rPr>
                    <w:t>r</w:t>
                  </w:r>
                  <w:r w:rsidR="00D74E90">
                    <w:rPr>
                      <w:sz w:val="24"/>
                      <w:szCs w:val="24"/>
                    </w:rPr>
                    <w:t>ain</w:t>
                  </w:r>
                  <w:r w:rsidR="006B7FE4" w:rsidRPr="00D74E90">
                    <w:rPr>
                      <w:sz w:val="24"/>
                      <w:szCs w:val="24"/>
                    </w:rPr>
                    <w:t xml:space="preserve">age du Chef de L’Etat,.  L’objectif de l’atelier est de </w:t>
                  </w:r>
                  <w:r w:rsidR="00B3126B" w:rsidRPr="00747667">
                    <w:rPr>
                      <w:b/>
                      <w:bCs/>
                      <w:sz w:val="24"/>
                      <w:szCs w:val="24"/>
                    </w:rPr>
                    <w:t>préparer le processus de ratification</w:t>
                  </w:r>
                  <w:r w:rsidR="00E90C5D" w:rsidRPr="00D74E90">
                    <w:rPr>
                      <w:sz w:val="24"/>
                      <w:szCs w:val="24"/>
                    </w:rPr>
                    <w:t xml:space="preserve"> </w:t>
                  </w:r>
                  <w:r w:rsidR="00B3126B" w:rsidRPr="00D74E90">
                    <w:rPr>
                      <w:sz w:val="24"/>
                      <w:szCs w:val="24"/>
                    </w:rPr>
                    <w:t xml:space="preserve">et </w:t>
                  </w:r>
                  <w:r w:rsidR="00E04280" w:rsidRPr="00747667">
                    <w:rPr>
                      <w:b/>
                      <w:bCs/>
                      <w:sz w:val="24"/>
                      <w:szCs w:val="24"/>
                    </w:rPr>
                    <w:t>d’élaborer</w:t>
                  </w:r>
                  <w:r w:rsidR="00E90C5D" w:rsidRPr="00747667">
                    <w:rPr>
                      <w:b/>
                      <w:bCs/>
                      <w:sz w:val="24"/>
                      <w:szCs w:val="24"/>
                    </w:rPr>
                    <w:t xml:space="preserve"> </w:t>
                  </w:r>
                  <w:r w:rsidR="002B7BCC">
                    <w:rPr>
                      <w:b/>
                      <w:bCs/>
                      <w:sz w:val="24"/>
                      <w:szCs w:val="24"/>
                    </w:rPr>
                    <w:t xml:space="preserve"> la stratégie nationale de mise en </w:t>
                  </w:r>
                  <w:r w:rsidR="00BE5D78">
                    <w:rPr>
                      <w:b/>
                      <w:bCs/>
                      <w:sz w:val="24"/>
                      <w:szCs w:val="24"/>
                    </w:rPr>
                    <w:t>œuvre</w:t>
                  </w:r>
                  <w:r w:rsidR="002B7BCC">
                    <w:rPr>
                      <w:b/>
                      <w:bCs/>
                      <w:sz w:val="24"/>
                      <w:szCs w:val="24"/>
                    </w:rPr>
                    <w:t xml:space="preserve"> de la ZLECAf (stratégie d’intégration et plan d’actions accordé</w:t>
                  </w:r>
                  <w:r w:rsidR="00C718C4">
                    <w:rPr>
                      <w:b/>
                      <w:bCs/>
                      <w:sz w:val="24"/>
                      <w:szCs w:val="24"/>
                    </w:rPr>
                    <w:t xml:space="preserve"> </w:t>
                  </w:r>
                  <w:r w:rsidR="00C718C4" w:rsidRPr="00C718C4">
                    <w:rPr>
                      <w:b/>
                      <w:bCs/>
                      <w:sz w:val="24"/>
                      <w:szCs w:val="24"/>
                    </w:rPr>
                    <w:t xml:space="preserve">incluant </w:t>
                  </w:r>
                  <w:r w:rsidR="00C718C4" w:rsidRPr="00BC6167">
                    <w:rPr>
                      <w:b/>
                      <w:bCs/>
                      <w:sz w:val="24"/>
                      <w:szCs w:val="24"/>
                    </w:rPr>
                    <w:t>l’appui à la domestication des protocoles de l’accord et à la révision des livres tarifaires</w:t>
                  </w:r>
                  <w:r w:rsidR="002B7BCC" w:rsidRPr="00BC6167">
                    <w:rPr>
                      <w:b/>
                      <w:bCs/>
                      <w:sz w:val="24"/>
                      <w:szCs w:val="24"/>
                    </w:rPr>
                    <w:t>)</w:t>
                  </w:r>
                  <w:r w:rsidR="00E90C5D" w:rsidRPr="00885A90">
                    <w:rPr>
                      <w:b/>
                      <w:bCs/>
                      <w:sz w:val="24"/>
                      <w:szCs w:val="24"/>
                    </w:rPr>
                    <w:t xml:space="preserve"> </w:t>
                  </w:r>
                </w:p>
                <w:p w14:paraId="07B6C41F" w14:textId="08D41965" w:rsidR="00747667" w:rsidRPr="00747667" w:rsidRDefault="00747667" w:rsidP="002B7BCC">
                  <w:pPr>
                    <w:spacing w:line="276" w:lineRule="auto"/>
                    <w:jc w:val="both"/>
                    <w:rPr>
                      <w:b/>
                      <w:bCs/>
                      <w:sz w:val="24"/>
                      <w:szCs w:val="24"/>
                    </w:rPr>
                  </w:pPr>
                  <w:r w:rsidRPr="00747667">
                    <w:rPr>
                      <w:b/>
                      <w:bCs/>
                      <w:sz w:val="24"/>
                      <w:szCs w:val="24"/>
                    </w:rPr>
                    <w:t>Objectif général</w:t>
                  </w:r>
                </w:p>
                <w:p w14:paraId="4F078F6E" w14:textId="335856AC" w:rsidR="00035E67" w:rsidRPr="00D74E90" w:rsidRDefault="00B3126B" w:rsidP="180E0F2F">
                  <w:pPr>
                    <w:jc w:val="both"/>
                    <w:rPr>
                      <w:sz w:val="24"/>
                      <w:szCs w:val="24"/>
                    </w:rPr>
                  </w:pPr>
                  <w:r w:rsidRPr="00D74E90">
                    <w:rPr>
                      <w:sz w:val="24"/>
                      <w:szCs w:val="24"/>
                    </w:rPr>
                    <w:t>Le financement du TRAC II va renforcer la contribution du PNUD</w:t>
                  </w:r>
                  <w:r w:rsidR="0037763F" w:rsidRPr="00D74E90">
                    <w:rPr>
                      <w:sz w:val="24"/>
                      <w:szCs w:val="24"/>
                    </w:rPr>
                    <w:t xml:space="preserve"> en ce moment critique.</w:t>
                  </w:r>
                  <w:r w:rsidRPr="00D74E90">
                    <w:rPr>
                      <w:sz w:val="24"/>
                      <w:szCs w:val="24"/>
                    </w:rPr>
                    <w:t xml:space="preserve"> </w:t>
                  </w:r>
                  <w:r w:rsidR="0037763F" w:rsidRPr="00D74E90">
                    <w:rPr>
                      <w:sz w:val="24"/>
                      <w:szCs w:val="24"/>
                    </w:rPr>
                    <w:t xml:space="preserve"> </w:t>
                  </w:r>
                  <w:r w:rsidR="00035E67" w:rsidRPr="00D74E90">
                    <w:rPr>
                      <w:sz w:val="24"/>
                      <w:szCs w:val="24"/>
                    </w:rPr>
                    <w:t xml:space="preserve">Au-delà des efforts </w:t>
                  </w:r>
                  <w:r w:rsidRPr="00D74E90">
                    <w:rPr>
                      <w:sz w:val="24"/>
                      <w:szCs w:val="24"/>
                    </w:rPr>
                    <w:t xml:space="preserve">de plaidoyer et l’appui conseil </w:t>
                  </w:r>
                  <w:r w:rsidR="0008404D" w:rsidRPr="00D74E90">
                    <w:rPr>
                      <w:sz w:val="24"/>
                      <w:szCs w:val="24"/>
                    </w:rPr>
                    <w:t>au plus haut niveau</w:t>
                  </w:r>
                  <w:r w:rsidR="00035E67" w:rsidRPr="00D74E90">
                    <w:rPr>
                      <w:sz w:val="24"/>
                      <w:szCs w:val="24"/>
                    </w:rPr>
                    <w:t xml:space="preserve"> de l’Etat pour créer un cadre habilitant que le PNUD s’est engagé à appuyer</w:t>
                  </w:r>
                  <w:r w:rsidR="004E6DAA">
                    <w:rPr>
                      <w:sz w:val="24"/>
                      <w:szCs w:val="24"/>
                    </w:rPr>
                    <w:t xml:space="preserve"> au niveau régional et national</w:t>
                  </w:r>
                  <w:r w:rsidR="00035E67" w:rsidRPr="00D74E90">
                    <w:rPr>
                      <w:sz w:val="24"/>
                      <w:szCs w:val="24"/>
                    </w:rPr>
                    <w:t xml:space="preserve">, la stimulation de </w:t>
                  </w:r>
                  <w:r w:rsidR="00035E67" w:rsidRPr="00D74E90">
                    <w:rPr>
                      <w:sz w:val="24"/>
                      <w:szCs w:val="24"/>
                    </w:rPr>
                    <w:lastRenderedPageBreak/>
                    <w:t>l’écosystème entrepreneurial comorien pour saisir les opportunités liées à l’intégration régionale est une nécessité</w:t>
                  </w:r>
                  <w:r w:rsidR="0008404D" w:rsidRPr="00D74E90">
                    <w:rPr>
                      <w:sz w:val="24"/>
                      <w:szCs w:val="24"/>
                    </w:rPr>
                    <w:t>. D</w:t>
                  </w:r>
                  <w:r w:rsidR="00035E67" w:rsidRPr="00D74E90">
                    <w:rPr>
                      <w:sz w:val="24"/>
                      <w:szCs w:val="24"/>
                    </w:rPr>
                    <w:t>ans un contexte où le secteur informel</w:t>
                  </w:r>
                  <w:r w:rsidR="0008404D" w:rsidRPr="00D74E90">
                    <w:rPr>
                      <w:sz w:val="24"/>
                      <w:szCs w:val="24"/>
                    </w:rPr>
                    <w:t xml:space="preserve"> </w:t>
                  </w:r>
                  <w:r w:rsidR="00035E67" w:rsidRPr="00D74E90">
                    <w:rPr>
                      <w:sz w:val="24"/>
                      <w:szCs w:val="24"/>
                    </w:rPr>
                    <w:t>fait face à des ob</w:t>
                  </w:r>
                  <w:r w:rsidR="004065A4" w:rsidRPr="00D74E90">
                    <w:rPr>
                      <w:sz w:val="24"/>
                      <w:szCs w:val="24"/>
                    </w:rPr>
                    <w:t xml:space="preserve">stacles importants </w:t>
                  </w:r>
                  <w:r w:rsidR="00A04167" w:rsidRPr="00D74E90">
                    <w:rPr>
                      <w:sz w:val="24"/>
                      <w:szCs w:val="24"/>
                    </w:rPr>
                    <w:t xml:space="preserve">et aggravés </w:t>
                  </w:r>
                  <w:r w:rsidR="494841D1" w:rsidRPr="00D74E90">
                    <w:rPr>
                      <w:sz w:val="24"/>
                      <w:szCs w:val="24"/>
                    </w:rPr>
                    <w:t>par les effets socioéconomiques de</w:t>
                  </w:r>
                  <w:r w:rsidR="00A04167" w:rsidRPr="00D74E90">
                    <w:rPr>
                      <w:sz w:val="24"/>
                      <w:szCs w:val="24"/>
                    </w:rPr>
                    <w:t xml:space="preserve"> la crise de la COVID-19</w:t>
                  </w:r>
                  <w:r w:rsidR="0008404D" w:rsidRPr="00D74E90">
                    <w:rPr>
                      <w:sz w:val="24"/>
                      <w:szCs w:val="24"/>
                    </w:rPr>
                    <w:t xml:space="preserve">, des réponses innovantes, </w:t>
                  </w:r>
                  <w:r w:rsidR="1C76D555" w:rsidRPr="00D74E90">
                    <w:rPr>
                      <w:sz w:val="24"/>
                      <w:szCs w:val="24"/>
                    </w:rPr>
                    <w:t xml:space="preserve">bâties </w:t>
                  </w:r>
                  <w:r w:rsidR="0008404D" w:rsidRPr="00D74E90">
                    <w:rPr>
                      <w:sz w:val="24"/>
                      <w:szCs w:val="24"/>
                    </w:rPr>
                    <w:t xml:space="preserve">sur les opportunités liées au numérique, mais aussi sur des solutions qui permettront aux jeunes et aux </w:t>
                  </w:r>
                  <w:r w:rsidR="0037763F" w:rsidRPr="00D74E90">
                    <w:rPr>
                      <w:sz w:val="24"/>
                      <w:szCs w:val="24"/>
                    </w:rPr>
                    <w:t xml:space="preserve">femmes </w:t>
                  </w:r>
                  <w:r w:rsidR="0037763F" w:rsidRPr="00D74E90">
                    <w:rPr>
                      <w:rFonts w:ascii="Calibri" w:eastAsia="Calibri" w:hAnsi="Calibri" w:cs="Calibri"/>
                      <w:sz w:val="24"/>
                      <w:szCs w:val="24"/>
                    </w:rPr>
                    <w:t>de</w:t>
                  </w:r>
                  <w:r w:rsidR="5BF7D2DB" w:rsidRPr="00D74E90">
                    <w:rPr>
                      <w:rFonts w:ascii="Calibri" w:eastAsia="Calibri" w:hAnsi="Calibri" w:cs="Calibri"/>
                      <w:sz w:val="24"/>
                      <w:szCs w:val="24"/>
                    </w:rPr>
                    <w:t xml:space="preserve"> se renforcer, dans leur propres secteurs d’activités</w:t>
                  </w:r>
                  <w:r w:rsidR="004E6DAA">
                    <w:rPr>
                      <w:sz w:val="24"/>
                      <w:szCs w:val="24"/>
                    </w:rPr>
                    <w:t xml:space="preserve"> </w:t>
                  </w:r>
                  <w:r w:rsidR="0008404D" w:rsidRPr="00D74E90">
                    <w:rPr>
                      <w:sz w:val="24"/>
                      <w:szCs w:val="24"/>
                    </w:rPr>
                    <w:t>et tirer profit de la ZLECAF</w:t>
                  </w:r>
                  <w:r w:rsidR="004E6DAA">
                    <w:rPr>
                      <w:sz w:val="24"/>
                      <w:szCs w:val="24"/>
                    </w:rPr>
                    <w:t>,</w:t>
                  </w:r>
                  <w:r w:rsidR="0008404D" w:rsidRPr="00D74E90">
                    <w:rPr>
                      <w:sz w:val="24"/>
                      <w:szCs w:val="24"/>
                    </w:rPr>
                    <w:t xml:space="preserve"> doivent être promues. </w:t>
                  </w:r>
                </w:p>
                <w:p w14:paraId="086F3589" w14:textId="70064756" w:rsidR="005F4F80" w:rsidRDefault="004D1038" w:rsidP="003145CB">
                  <w:pPr>
                    <w:spacing w:line="257" w:lineRule="auto"/>
                    <w:jc w:val="both"/>
                    <w:rPr>
                      <w:rFonts w:ascii="Calibri" w:eastAsia="Calibri" w:hAnsi="Calibri" w:cs="Calibri"/>
                      <w:sz w:val="24"/>
                      <w:szCs w:val="24"/>
                    </w:rPr>
                  </w:pPr>
                  <w:r w:rsidRPr="00D74E90">
                    <w:rPr>
                      <w:sz w:val="24"/>
                      <w:szCs w:val="24"/>
                    </w:rPr>
                    <w:t xml:space="preserve">Le PNUD est particulièrement bien positionné pour </w:t>
                  </w:r>
                  <w:r w:rsidRPr="00BC6167">
                    <w:rPr>
                      <w:b/>
                      <w:bCs/>
                      <w:sz w:val="24"/>
                      <w:szCs w:val="24"/>
                    </w:rPr>
                    <w:t>accompagner le Gouvernement et le secteur privé</w:t>
                  </w:r>
                  <w:r w:rsidRPr="00D74E90">
                    <w:rPr>
                      <w:sz w:val="24"/>
                      <w:szCs w:val="24"/>
                    </w:rPr>
                    <w:t xml:space="preserve"> dans cette nouvelle </w:t>
                  </w:r>
                  <w:r w:rsidR="1A9CB80D" w:rsidRPr="00D74E90">
                    <w:rPr>
                      <w:sz w:val="24"/>
                      <w:szCs w:val="24"/>
                    </w:rPr>
                    <w:t xml:space="preserve">étape </w:t>
                  </w:r>
                  <w:r w:rsidRPr="00D74E90">
                    <w:rPr>
                      <w:sz w:val="24"/>
                      <w:szCs w:val="24"/>
                    </w:rPr>
                    <w:t>et en saisir les opportunités au bénéfice des jeunes et des femmes de l’Union des Comores. Le PNUD est un partenaire de confiance du gouvernement mais aussi de l</w:t>
                  </w:r>
                  <w:r w:rsidR="004E6DAA">
                    <w:rPr>
                      <w:sz w:val="24"/>
                      <w:szCs w:val="24"/>
                    </w:rPr>
                    <w:t>’Union des</w:t>
                  </w:r>
                  <w:r w:rsidRPr="00D74E90">
                    <w:rPr>
                      <w:sz w:val="24"/>
                      <w:szCs w:val="24"/>
                    </w:rPr>
                    <w:t xml:space="preserve"> Chambre</w:t>
                  </w:r>
                  <w:r w:rsidR="004E6DAA">
                    <w:rPr>
                      <w:sz w:val="24"/>
                      <w:szCs w:val="24"/>
                    </w:rPr>
                    <w:t>s</w:t>
                  </w:r>
                  <w:r w:rsidRPr="00D74E90">
                    <w:rPr>
                      <w:sz w:val="24"/>
                      <w:szCs w:val="24"/>
                    </w:rPr>
                    <w:t xml:space="preserve"> de Commerce</w:t>
                  </w:r>
                  <w:r w:rsidR="1715EBE4" w:rsidRPr="00D74E90">
                    <w:rPr>
                      <w:sz w:val="24"/>
                      <w:szCs w:val="24"/>
                    </w:rPr>
                    <w:t xml:space="preserve"> et d’autres acteurs du secteur privé</w:t>
                  </w:r>
                  <w:r w:rsidRPr="00D74E90">
                    <w:rPr>
                      <w:sz w:val="24"/>
                      <w:szCs w:val="24"/>
                    </w:rPr>
                    <w:t xml:space="preserve">. Il a démultiplié ses appuis aux jeunes entrepreneurs depuis quelques années et mène un </w:t>
                  </w:r>
                  <w:r w:rsidR="00822181" w:rsidRPr="00D74E90">
                    <w:rPr>
                      <w:sz w:val="24"/>
                      <w:szCs w:val="24"/>
                    </w:rPr>
                    <w:t>programme ambitieux d’autonomisation économique des femmes</w:t>
                  </w:r>
                  <w:r w:rsidR="00E333D9" w:rsidRPr="00D74E90">
                    <w:rPr>
                      <w:sz w:val="24"/>
                      <w:szCs w:val="24"/>
                    </w:rPr>
                    <w:t xml:space="preserve"> et </w:t>
                  </w:r>
                  <w:r w:rsidR="4CF8A298" w:rsidRPr="00D74E90">
                    <w:rPr>
                      <w:rFonts w:ascii="Calibri" w:eastAsia="Calibri" w:hAnsi="Calibri" w:cs="Calibri"/>
                      <w:sz w:val="24"/>
                      <w:szCs w:val="24"/>
                    </w:rPr>
                    <w:t xml:space="preserve"> une initiative phare financée pour</w:t>
                  </w:r>
                  <w:r w:rsidR="790BF619" w:rsidRPr="00D74E90">
                    <w:rPr>
                      <w:rFonts w:ascii="Calibri" w:eastAsia="Calibri" w:hAnsi="Calibri" w:cs="Calibri"/>
                      <w:sz w:val="24"/>
                      <w:szCs w:val="24"/>
                    </w:rPr>
                    <w:t xml:space="preserve"> </w:t>
                  </w:r>
                  <w:proofErr w:type="spellStart"/>
                  <w:r w:rsidR="790BF619" w:rsidRPr="00D74E90">
                    <w:rPr>
                      <w:sz w:val="24"/>
                      <w:szCs w:val="24"/>
                    </w:rPr>
                    <w:t>l</w:t>
                  </w:r>
                  <w:hyperlink r:id="rId13" w:anchor="cbp=/ocean-innovations/establishment-pet-recovery-and-buy-back-center" w:history="1">
                    <w:hyperlink r:id="rId14" w:anchor="cbp=/ocean-innovations/establishment-pet-recovery-and-buy-back-center" w:history="1">
                      <w:r w:rsidR="790BF619" w:rsidRPr="00D74E90">
                        <w:rPr>
                          <w:sz w:val="24"/>
                          <w:szCs w:val="24"/>
                        </w:rPr>
                        <w:t>’Ocean Innovation Challenge</w:t>
                      </w:r>
                    </w:hyperlink>
                  </w:hyperlink>
                  <w:r w:rsidR="00BE5D78">
                    <w:rPr>
                      <w:sz w:val="24"/>
                      <w:szCs w:val="24"/>
                    </w:rPr>
                    <w:t xml:space="preserve"> </w:t>
                  </w:r>
                  <w:hyperlink r:id="rId15" w:anchor="cbp=/ocean-innovations/establishment-pet-recovery-and-buy-back-center" w:history="1"/>
                  <w:r w:rsidR="4CF8A298" w:rsidRPr="00D74E90">
                    <w:rPr>
                      <w:rFonts w:ascii="Calibri" w:eastAsia="Calibri" w:hAnsi="Calibri" w:cs="Calibri"/>
                      <w:sz w:val="24"/>
                      <w:szCs w:val="24"/>
                    </w:rPr>
                    <w:t>en</w:t>
                  </w:r>
                  <w:proofErr w:type="spellEnd"/>
                  <w:r w:rsidR="4CF8A298" w:rsidRPr="00D74E90">
                    <w:rPr>
                      <w:rFonts w:ascii="Calibri" w:eastAsia="Calibri" w:hAnsi="Calibri" w:cs="Calibri"/>
                      <w:sz w:val="24"/>
                      <w:szCs w:val="24"/>
                    </w:rPr>
                    <w:t xml:space="preserve"> faveur de l’entrepreneuriat autour de la collecte, du recyclage et de la revalorisation des déchets plastiques dans le cadre de l’économie bleue et circulaire</w:t>
                  </w:r>
                  <w:r w:rsidR="003145CB" w:rsidRPr="00D74E90">
                    <w:rPr>
                      <w:rFonts w:ascii="Calibri" w:eastAsia="Calibri" w:hAnsi="Calibri" w:cs="Calibri"/>
                      <w:sz w:val="24"/>
                      <w:szCs w:val="24"/>
                    </w:rPr>
                    <w:t>.</w:t>
                  </w:r>
                  <w:r w:rsidR="003F61CF">
                    <w:rPr>
                      <w:rFonts w:ascii="Calibri" w:eastAsia="Calibri" w:hAnsi="Calibri" w:cs="Calibri"/>
                      <w:sz w:val="24"/>
                      <w:szCs w:val="24"/>
                    </w:rPr>
                    <w:t xml:space="preserve"> </w:t>
                  </w:r>
                  <w:r w:rsidR="00E37817">
                    <w:rPr>
                      <w:rFonts w:ascii="Calibri" w:eastAsia="Calibri" w:hAnsi="Calibri" w:cs="Calibri"/>
                      <w:sz w:val="24"/>
                      <w:szCs w:val="24"/>
                    </w:rPr>
                    <w:t xml:space="preserve">Le PNUD a aussi su jouer son rôle intégrateur en </w:t>
                  </w:r>
                  <w:r w:rsidR="00BE5D78">
                    <w:rPr>
                      <w:rFonts w:ascii="Calibri" w:eastAsia="Calibri" w:hAnsi="Calibri" w:cs="Calibri"/>
                      <w:sz w:val="24"/>
                      <w:szCs w:val="24"/>
                    </w:rPr>
                    <w:t>organisant</w:t>
                  </w:r>
                  <w:r w:rsidR="00E37817">
                    <w:rPr>
                      <w:rFonts w:ascii="Calibri" w:eastAsia="Calibri" w:hAnsi="Calibri" w:cs="Calibri"/>
                      <w:sz w:val="24"/>
                      <w:szCs w:val="24"/>
                    </w:rPr>
                    <w:t xml:space="preserve"> l’appui des agences des Nations Unies autour d’un processus de ratification accordé par l’ensemble des partenaires. Enfin, l</w:t>
                  </w:r>
                  <w:r w:rsidR="004E6DAA">
                    <w:rPr>
                      <w:rFonts w:ascii="Calibri" w:eastAsia="Calibri" w:hAnsi="Calibri" w:cs="Calibri"/>
                      <w:sz w:val="24"/>
                      <w:szCs w:val="24"/>
                    </w:rPr>
                    <w:t xml:space="preserve">e </w:t>
                  </w:r>
                  <w:r w:rsidR="004E6DAA" w:rsidRPr="00BC6167">
                    <w:rPr>
                      <w:rFonts w:ascii="Calibri" w:eastAsia="Calibri" w:hAnsi="Calibri" w:cs="Calibri"/>
                      <w:b/>
                      <w:bCs/>
                      <w:sz w:val="24"/>
                      <w:szCs w:val="24"/>
                    </w:rPr>
                    <w:t xml:space="preserve">PNUD travaille également avec des organisations de jeunes et de femmes et </w:t>
                  </w:r>
                  <w:r w:rsidR="00885A90">
                    <w:rPr>
                      <w:rFonts w:ascii="Calibri" w:eastAsia="Calibri" w:hAnsi="Calibri" w:cs="Calibri"/>
                      <w:b/>
                      <w:bCs/>
                      <w:sz w:val="24"/>
                      <w:szCs w:val="24"/>
                    </w:rPr>
                    <w:t>complètera</w:t>
                  </w:r>
                  <w:r w:rsidR="004E6DAA" w:rsidRPr="00BC6167">
                    <w:rPr>
                      <w:rFonts w:ascii="Calibri" w:eastAsia="Calibri" w:hAnsi="Calibri" w:cs="Calibri"/>
                      <w:b/>
                      <w:bCs/>
                      <w:sz w:val="24"/>
                      <w:szCs w:val="24"/>
                    </w:rPr>
                    <w:t xml:space="preserve"> l’éventail de ses partenariats</w:t>
                  </w:r>
                  <w:r w:rsidR="004E6DAA">
                    <w:rPr>
                      <w:rFonts w:ascii="Calibri" w:eastAsia="Calibri" w:hAnsi="Calibri" w:cs="Calibri"/>
                      <w:sz w:val="24"/>
                      <w:szCs w:val="24"/>
                    </w:rPr>
                    <w:t xml:space="preserve"> avec des organisations telles que EFOICOM avec qui le PNUD a déjà </w:t>
                  </w:r>
                  <w:r w:rsidR="00BE5D78">
                    <w:rPr>
                      <w:rFonts w:ascii="Calibri" w:eastAsia="Calibri" w:hAnsi="Calibri" w:cs="Calibri"/>
                      <w:sz w:val="24"/>
                      <w:szCs w:val="24"/>
                    </w:rPr>
                    <w:t>travaillé</w:t>
                  </w:r>
                  <w:r w:rsidR="004E6DAA">
                    <w:rPr>
                      <w:rFonts w:ascii="Calibri" w:eastAsia="Calibri" w:hAnsi="Calibri" w:cs="Calibri"/>
                      <w:sz w:val="24"/>
                      <w:szCs w:val="24"/>
                    </w:rPr>
                    <w:t>, ainsi que la PLAMFE (Plateforme des femmes entrepreneures)</w:t>
                  </w:r>
                  <w:r w:rsidR="00E37817">
                    <w:rPr>
                      <w:rFonts w:ascii="Calibri" w:eastAsia="Calibri" w:hAnsi="Calibri" w:cs="Calibri"/>
                      <w:sz w:val="24"/>
                      <w:szCs w:val="24"/>
                    </w:rPr>
                    <w:t xml:space="preserve">, Synergie Jeunes et le Réseau des Jeunes entrepreneurs. </w:t>
                  </w:r>
                  <w:r w:rsidR="004E6DAA">
                    <w:rPr>
                      <w:rFonts w:ascii="Calibri" w:eastAsia="Calibri" w:hAnsi="Calibri" w:cs="Calibri"/>
                      <w:sz w:val="24"/>
                      <w:szCs w:val="24"/>
                    </w:rPr>
                    <w:t xml:space="preserve"> </w:t>
                  </w:r>
                </w:p>
                <w:p w14:paraId="5D18E546" w14:textId="2C8EFE07" w:rsidR="00747667" w:rsidRPr="00747667" w:rsidRDefault="00747667" w:rsidP="003145CB">
                  <w:pPr>
                    <w:spacing w:line="257" w:lineRule="auto"/>
                    <w:jc w:val="both"/>
                    <w:rPr>
                      <w:b/>
                      <w:bCs/>
                      <w:sz w:val="24"/>
                      <w:szCs w:val="24"/>
                    </w:rPr>
                  </w:pPr>
                  <w:r w:rsidRPr="00747667">
                    <w:rPr>
                      <w:rFonts w:ascii="Calibri" w:eastAsia="Calibri" w:hAnsi="Calibri" w:cs="Calibri"/>
                      <w:b/>
                      <w:bCs/>
                      <w:sz w:val="24"/>
                      <w:szCs w:val="24"/>
                    </w:rPr>
                    <w:t>Objectifs</w:t>
                  </w:r>
                  <w:r>
                    <w:rPr>
                      <w:rFonts w:ascii="Calibri" w:eastAsia="Calibri" w:hAnsi="Calibri" w:cs="Calibri"/>
                      <w:b/>
                      <w:bCs/>
                      <w:sz w:val="24"/>
                      <w:szCs w:val="24"/>
                    </w:rPr>
                    <w:t xml:space="preserve"> spécifiques</w:t>
                  </w:r>
                </w:p>
                <w:p w14:paraId="54F4666A" w14:textId="162BD12F" w:rsidR="003F6341" w:rsidRPr="00724019" w:rsidRDefault="003F6341" w:rsidP="003F6341">
                  <w:pPr>
                    <w:jc w:val="both"/>
                    <w:rPr>
                      <w:sz w:val="24"/>
                      <w:szCs w:val="24"/>
                    </w:rPr>
                  </w:pPr>
                  <w:r w:rsidRPr="00D74E90">
                    <w:rPr>
                      <w:sz w:val="24"/>
                      <w:szCs w:val="24"/>
                    </w:rPr>
                    <w:t>Ainsi, fort de sa valeur ajoutée et des besoins iden</w:t>
                  </w:r>
                  <w:r w:rsidRPr="00724019">
                    <w:rPr>
                      <w:sz w:val="24"/>
                      <w:szCs w:val="24"/>
                    </w:rPr>
                    <w:t>tifiés pour garantir une intégration à retombée positive de l’Union des Comores au sein de la ZLE</w:t>
                  </w:r>
                  <w:r w:rsidR="0037763F" w:rsidRPr="00724019">
                    <w:rPr>
                      <w:sz w:val="24"/>
                      <w:szCs w:val="24"/>
                    </w:rPr>
                    <w:t>CAF pour la transformation économique et s</w:t>
                  </w:r>
                  <w:r w:rsidR="00724019">
                    <w:rPr>
                      <w:sz w:val="24"/>
                      <w:szCs w:val="24"/>
                    </w:rPr>
                    <w:t xml:space="preserve">on impact </w:t>
                  </w:r>
                  <w:r w:rsidR="0037763F" w:rsidRPr="00724019">
                    <w:rPr>
                      <w:sz w:val="24"/>
                      <w:szCs w:val="24"/>
                    </w:rPr>
                    <w:t xml:space="preserve"> potentiel pour une croissance inclusive</w:t>
                  </w:r>
                  <w:r w:rsidRPr="00724019">
                    <w:rPr>
                      <w:sz w:val="24"/>
                      <w:szCs w:val="24"/>
                    </w:rPr>
                    <w:t xml:space="preserve">, cette proposition va : </w:t>
                  </w:r>
                </w:p>
                <w:p w14:paraId="0E3DAF3E" w14:textId="5C89BC0F" w:rsidR="003F6341" w:rsidRPr="00D74E90" w:rsidRDefault="003F6341" w:rsidP="0FB45041">
                  <w:pPr>
                    <w:pStyle w:val="Paragraphedeliste"/>
                    <w:numPr>
                      <w:ilvl w:val="0"/>
                      <w:numId w:val="13"/>
                    </w:numPr>
                    <w:jc w:val="both"/>
                    <w:rPr>
                      <w:b/>
                      <w:bCs/>
                      <w:sz w:val="24"/>
                      <w:szCs w:val="24"/>
                    </w:rPr>
                  </w:pPr>
                  <w:r w:rsidRPr="00D74E90">
                    <w:rPr>
                      <w:b/>
                      <w:bCs/>
                      <w:sz w:val="24"/>
                      <w:szCs w:val="24"/>
                    </w:rPr>
                    <w:t xml:space="preserve">Appuyer le cadre </w:t>
                  </w:r>
                  <w:r w:rsidR="705E62CE" w:rsidRPr="00D74E90">
                    <w:rPr>
                      <w:b/>
                      <w:bCs/>
                      <w:sz w:val="24"/>
                      <w:szCs w:val="24"/>
                    </w:rPr>
                    <w:t xml:space="preserve">stratégique, </w:t>
                  </w:r>
                  <w:r w:rsidR="007F6E94" w:rsidRPr="00D74E90">
                    <w:rPr>
                      <w:b/>
                      <w:bCs/>
                      <w:sz w:val="24"/>
                      <w:szCs w:val="24"/>
                    </w:rPr>
                    <w:t xml:space="preserve">légal et </w:t>
                  </w:r>
                  <w:r w:rsidR="095FE348" w:rsidRPr="00D74E90">
                    <w:rPr>
                      <w:b/>
                      <w:bCs/>
                      <w:sz w:val="24"/>
                      <w:szCs w:val="24"/>
                    </w:rPr>
                    <w:t xml:space="preserve">réglementaire </w:t>
                  </w:r>
                  <w:r w:rsidRPr="00D74E90">
                    <w:rPr>
                      <w:b/>
                      <w:bCs/>
                      <w:sz w:val="24"/>
                      <w:szCs w:val="24"/>
                    </w:rPr>
                    <w:t>visant à faciliter l’intégration du pays au sein de la ZLECAf</w:t>
                  </w:r>
                  <w:r w:rsidR="00B05355">
                    <w:rPr>
                      <w:b/>
                      <w:bCs/>
                      <w:sz w:val="24"/>
                      <w:szCs w:val="24"/>
                    </w:rPr>
                    <w:t xml:space="preserve"> </w:t>
                  </w:r>
                  <w:r w:rsidR="00194FBD">
                    <w:rPr>
                      <w:b/>
                      <w:bCs/>
                      <w:sz w:val="24"/>
                      <w:szCs w:val="24"/>
                    </w:rPr>
                    <w:t>et utiliser la coopération Sud</w:t>
                  </w:r>
                  <w:r w:rsidR="006A5307">
                    <w:rPr>
                      <w:b/>
                      <w:bCs/>
                      <w:sz w:val="24"/>
                      <w:szCs w:val="24"/>
                    </w:rPr>
                    <w:t>/</w:t>
                  </w:r>
                  <w:r w:rsidR="00194FBD">
                    <w:rPr>
                      <w:b/>
                      <w:bCs/>
                      <w:sz w:val="24"/>
                      <w:szCs w:val="24"/>
                    </w:rPr>
                    <w:t>Sud pour créer un environnement habilitant construit sur des bonnes pratiques au sein de la région</w:t>
                  </w:r>
                </w:p>
                <w:p w14:paraId="2BE9633B" w14:textId="3BEBA5FA" w:rsidR="003F6341" w:rsidRPr="00D74E90" w:rsidRDefault="000A2A8E" w:rsidP="0FB45041">
                  <w:pPr>
                    <w:pStyle w:val="Paragraphedeliste"/>
                    <w:numPr>
                      <w:ilvl w:val="0"/>
                      <w:numId w:val="13"/>
                    </w:numPr>
                    <w:jc w:val="both"/>
                    <w:rPr>
                      <w:b/>
                      <w:bCs/>
                      <w:sz w:val="24"/>
                      <w:szCs w:val="24"/>
                    </w:rPr>
                  </w:pPr>
                  <w:r w:rsidRPr="00D74E90">
                    <w:rPr>
                      <w:b/>
                      <w:bCs/>
                      <w:sz w:val="24"/>
                      <w:szCs w:val="24"/>
                    </w:rPr>
                    <w:t>Favorise</w:t>
                  </w:r>
                  <w:r w:rsidR="00443872" w:rsidRPr="00D74E90">
                    <w:rPr>
                      <w:b/>
                      <w:bCs/>
                      <w:sz w:val="24"/>
                      <w:szCs w:val="24"/>
                    </w:rPr>
                    <w:t xml:space="preserve">r l’émergence d’un écosystème </w:t>
                  </w:r>
                  <w:r w:rsidRPr="00D74E90">
                    <w:rPr>
                      <w:b/>
                      <w:bCs/>
                      <w:sz w:val="24"/>
                      <w:szCs w:val="24"/>
                    </w:rPr>
                    <w:t>entrepreneurial qui permet aux jeunes et aux femmes entrepreneurs</w:t>
                  </w:r>
                  <w:r w:rsidR="00980331">
                    <w:rPr>
                      <w:b/>
                      <w:bCs/>
                      <w:sz w:val="24"/>
                      <w:szCs w:val="24"/>
                    </w:rPr>
                    <w:t>, et surtout les PME,</w:t>
                  </w:r>
                  <w:r w:rsidRPr="00D74E90">
                    <w:rPr>
                      <w:b/>
                      <w:bCs/>
                      <w:sz w:val="24"/>
                      <w:szCs w:val="24"/>
                    </w:rPr>
                    <w:t xml:space="preserve"> de tirer profit de l’intégration économique du </w:t>
                  </w:r>
                  <w:r w:rsidR="289CB19C" w:rsidRPr="00D74E90">
                    <w:rPr>
                      <w:b/>
                      <w:bCs/>
                      <w:sz w:val="24"/>
                      <w:szCs w:val="24"/>
                    </w:rPr>
                    <w:t>p</w:t>
                  </w:r>
                  <w:r w:rsidRPr="00D74E90">
                    <w:rPr>
                      <w:b/>
                      <w:bCs/>
                      <w:sz w:val="24"/>
                      <w:szCs w:val="24"/>
                    </w:rPr>
                    <w:t xml:space="preserve">ays au sein de la ZLECAF en </w:t>
                  </w:r>
                  <w:r w:rsidR="00194FBD">
                    <w:rPr>
                      <w:b/>
                      <w:bCs/>
                      <w:sz w:val="24"/>
                      <w:szCs w:val="24"/>
                    </w:rPr>
                    <w:t>améliorant leur compétitivité, en identifiant</w:t>
                  </w:r>
                  <w:r w:rsidR="61F12DBB" w:rsidRPr="00D74E90">
                    <w:rPr>
                      <w:b/>
                      <w:bCs/>
                      <w:sz w:val="24"/>
                      <w:szCs w:val="24"/>
                    </w:rPr>
                    <w:t xml:space="preserve"> </w:t>
                  </w:r>
                  <w:r w:rsidR="00194FBD">
                    <w:rPr>
                      <w:b/>
                      <w:bCs/>
                      <w:sz w:val="24"/>
                      <w:szCs w:val="24"/>
                    </w:rPr>
                    <w:t xml:space="preserve">les possibilités </w:t>
                  </w:r>
                  <w:r w:rsidRPr="00D74E90">
                    <w:rPr>
                      <w:b/>
                      <w:bCs/>
                      <w:sz w:val="24"/>
                      <w:szCs w:val="24"/>
                    </w:rPr>
                    <w:t>l’offre exportable et en appuyant l’identification de nouveaux partenariats</w:t>
                  </w:r>
                  <w:r w:rsidR="00B05355">
                    <w:rPr>
                      <w:b/>
                      <w:bCs/>
                      <w:sz w:val="24"/>
                      <w:szCs w:val="24"/>
                    </w:rPr>
                    <w:t>, financements</w:t>
                  </w:r>
                  <w:r w:rsidR="00E71626">
                    <w:rPr>
                      <w:b/>
                      <w:bCs/>
                      <w:sz w:val="24"/>
                      <w:szCs w:val="24"/>
                    </w:rPr>
                    <w:t>, réseaux</w:t>
                  </w:r>
                  <w:r w:rsidRPr="00D74E90">
                    <w:rPr>
                      <w:b/>
                      <w:bCs/>
                      <w:sz w:val="24"/>
                      <w:szCs w:val="24"/>
                    </w:rPr>
                    <w:t xml:space="preserve"> et marchés. </w:t>
                  </w:r>
                </w:p>
                <w:p w14:paraId="155AAC1E" w14:textId="11BA2070" w:rsidR="00443872" w:rsidRPr="00D74E90" w:rsidRDefault="00443872" w:rsidP="0FB45041">
                  <w:pPr>
                    <w:pStyle w:val="Paragraphedeliste"/>
                    <w:numPr>
                      <w:ilvl w:val="0"/>
                      <w:numId w:val="13"/>
                    </w:numPr>
                    <w:jc w:val="both"/>
                    <w:rPr>
                      <w:b/>
                      <w:bCs/>
                      <w:sz w:val="24"/>
                      <w:szCs w:val="24"/>
                    </w:rPr>
                  </w:pPr>
                  <w:r w:rsidRPr="00D74E90">
                    <w:rPr>
                      <w:b/>
                      <w:bCs/>
                      <w:sz w:val="24"/>
                      <w:szCs w:val="24"/>
                    </w:rPr>
                    <w:t xml:space="preserve">Accompagner des femmes et des jeunes </w:t>
                  </w:r>
                  <w:r w:rsidR="0037763F" w:rsidRPr="00D74E90">
                    <w:rPr>
                      <w:b/>
                      <w:bCs/>
                      <w:sz w:val="24"/>
                      <w:szCs w:val="24"/>
                    </w:rPr>
                    <w:t>entrepreneures</w:t>
                  </w:r>
                  <w:r w:rsidRPr="00D74E90">
                    <w:rPr>
                      <w:b/>
                      <w:bCs/>
                      <w:sz w:val="24"/>
                      <w:szCs w:val="24"/>
                    </w:rPr>
                    <w:t xml:space="preserve"> en les formant</w:t>
                  </w:r>
                  <w:r w:rsidR="000A2A8E" w:rsidRPr="00D74E90">
                    <w:rPr>
                      <w:b/>
                      <w:bCs/>
                      <w:sz w:val="24"/>
                      <w:szCs w:val="24"/>
                    </w:rPr>
                    <w:t xml:space="preserve"> et en renforçant les capacités des structures d’appui à l’entreprenariat</w:t>
                  </w:r>
                  <w:r w:rsidR="3B4C42A6" w:rsidRPr="00D74E90">
                    <w:rPr>
                      <w:b/>
                      <w:bCs/>
                      <w:sz w:val="24"/>
                      <w:szCs w:val="24"/>
                    </w:rPr>
                    <w:t xml:space="preserve"> afin que ces structures prennent le relais</w:t>
                  </w:r>
                  <w:r w:rsidR="0037763F" w:rsidRPr="00D74E90">
                    <w:rPr>
                      <w:b/>
                      <w:bCs/>
                      <w:sz w:val="24"/>
                      <w:szCs w:val="24"/>
                    </w:rPr>
                    <w:t>.</w:t>
                  </w:r>
                </w:p>
                <w:p w14:paraId="3A5F55FB" w14:textId="77777777" w:rsidR="00194FBD" w:rsidRPr="00BC6167" w:rsidRDefault="00B9270D" w:rsidP="00194FBD">
                  <w:pPr>
                    <w:pStyle w:val="Paragraphedeliste"/>
                    <w:numPr>
                      <w:ilvl w:val="0"/>
                      <w:numId w:val="13"/>
                    </w:numPr>
                    <w:jc w:val="both"/>
                    <w:rPr>
                      <w:rFonts w:eastAsiaTheme="minorEastAsia"/>
                      <w:b/>
                      <w:bCs/>
                      <w:sz w:val="24"/>
                      <w:szCs w:val="24"/>
                    </w:rPr>
                  </w:pPr>
                  <w:r>
                    <w:rPr>
                      <w:b/>
                      <w:bCs/>
                      <w:sz w:val="24"/>
                      <w:szCs w:val="24"/>
                    </w:rPr>
                    <w:t>Renforcer</w:t>
                  </w:r>
                  <w:r w:rsidR="00443872" w:rsidRPr="00D74E90">
                    <w:rPr>
                      <w:b/>
                      <w:bCs/>
                      <w:sz w:val="24"/>
                      <w:szCs w:val="24"/>
                    </w:rPr>
                    <w:t xml:space="preserve"> l’utilisation du numérique comme accélérateur de l’intégration</w:t>
                  </w:r>
                  <w:r w:rsidR="00191FF0">
                    <w:rPr>
                      <w:b/>
                      <w:bCs/>
                      <w:sz w:val="24"/>
                      <w:szCs w:val="24"/>
                    </w:rPr>
                    <w:t xml:space="preserve"> et préparer les Comores à domestiquer la stratégie de digitalisation existant au niveau continental</w:t>
                  </w:r>
                  <w:r w:rsidR="00443872" w:rsidRPr="00D74E90">
                    <w:rPr>
                      <w:b/>
                      <w:bCs/>
                      <w:sz w:val="24"/>
                      <w:szCs w:val="24"/>
                    </w:rPr>
                    <w:t xml:space="preserve"> </w:t>
                  </w:r>
                </w:p>
                <w:p w14:paraId="23BCA890" w14:textId="5EDBB60F" w:rsidR="00275EBC" w:rsidRPr="00647ABE" w:rsidRDefault="00275EBC" w:rsidP="00194FBD">
                  <w:pPr>
                    <w:pStyle w:val="Paragraphedeliste"/>
                    <w:numPr>
                      <w:ilvl w:val="0"/>
                      <w:numId w:val="13"/>
                    </w:numPr>
                    <w:jc w:val="both"/>
                    <w:rPr>
                      <w:rFonts w:eastAsiaTheme="minorEastAsia"/>
                      <w:b/>
                      <w:bCs/>
                      <w:sz w:val="24"/>
                      <w:szCs w:val="24"/>
                    </w:rPr>
                  </w:pPr>
                  <w:r>
                    <w:rPr>
                      <w:rFonts w:eastAsiaTheme="minorEastAsia"/>
                      <w:b/>
                      <w:bCs/>
                      <w:sz w:val="24"/>
                      <w:szCs w:val="24"/>
                    </w:rPr>
                    <w:lastRenderedPageBreak/>
                    <w:t xml:space="preserve">Mettre en place un Laboratoire d’Accélération </w:t>
                  </w:r>
                  <w:r w:rsidR="000E6E26">
                    <w:rPr>
                      <w:rFonts w:eastAsiaTheme="minorEastAsia"/>
                      <w:b/>
                      <w:bCs/>
                      <w:sz w:val="24"/>
                      <w:szCs w:val="24"/>
                    </w:rPr>
                    <w:t xml:space="preserve">pour instiller de l’innovation au sein de l’écosystème </w:t>
                  </w:r>
                  <w:proofErr w:type="spellStart"/>
                  <w:r w:rsidR="000E6E26">
                    <w:rPr>
                      <w:rFonts w:eastAsiaTheme="minorEastAsia"/>
                      <w:b/>
                      <w:bCs/>
                      <w:sz w:val="24"/>
                      <w:szCs w:val="24"/>
                    </w:rPr>
                    <w:t>entrepreunerial</w:t>
                  </w:r>
                  <w:proofErr w:type="spellEnd"/>
                  <w:r w:rsidR="000E6E26">
                    <w:rPr>
                      <w:rFonts w:eastAsiaTheme="minorEastAsia"/>
                      <w:b/>
                      <w:bCs/>
                      <w:sz w:val="24"/>
                      <w:szCs w:val="24"/>
                    </w:rPr>
                    <w:t xml:space="preserve"> comorien en impliquant notamment les Universités et la diaspora.  </w:t>
                  </w:r>
                </w:p>
              </w:tc>
              <w:tc>
                <w:tcPr>
                  <w:tcW w:w="0" w:type="auto"/>
                  <w:tcBorders>
                    <w:top w:val="nil"/>
                    <w:left w:val="nil"/>
                    <w:bottom w:val="nil"/>
                    <w:right w:val="nil"/>
                  </w:tcBorders>
                  <w:tcMar>
                    <w:top w:w="60" w:type="dxa"/>
                    <w:left w:w="75" w:type="dxa"/>
                    <w:bottom w:w="60" w:type="dxa"/>
                    <w:right w:w="330" w:type="dxa"/>
                  </w:tcMar>
                  <w:hideMark/>
                </w:tcPr>
                <w:p w14:paraId="179B6F69" w14:textId="77777777" w:rsidR="00E5571E" w:rsidRPr="00E5571E" w:rsidRDefault="00E5571E" w:rsidP="00E5571E">
                  <w:r w:rsidRPr="00E5571E">
                    <w:lastRenderedPageBreak/>
                    <w:t>​</w:t>
                  </w:r>
                </w:p>
              </w:tc>
            </w:tr>
            <w:tr w:rsidR="00827824" w:rsidRPr="00E5571E" w14:paraId="249B7588" w14:textId="77777777" w:rsidTr="69A8F6F5">
              <w:trPr>
                <w:trHeight w:val="450"/>
              </w:trPr>
              <w:tc>
                <w:tcPr>
                  <w:tcW w:w="0" w:type="auto"/>
                  <w:tcBorders>
                    <w:top w:val="nil"/>
                    <w:left w:val="nil"/>
                    <w:bottom w:val="nil"/>
                    <w:right w:val="nil"/>
                  </w:tcBorders>
                  <w:tcMar>
                    <w:top w:w="60" w:type="dxa"/>
                    <w:left w:w="330" w:type="dxa"/>
                    <w:bottom w:w="60" w:type="dxa"/>
                    <w:right w:w="75" w:type="dxa"/>
                  </w:tcMar>
                  <w:hideMark/>
                </w:tcPr>
                <w:p w14:paraId="4A76E256" w14:textId="2E4D1668" w:rsidR="00E5571E" w:rsidRPr="00694259" w:rsidRDefault="00E5571E" w:rsidP="69A8F6F5">
                  <w:pPr>
                    <w:rPr>
                      <w:b/>
                      <w:bCs/>
                      <w:i/>
                      <w:iCs/>
                      <w:color w:val="000000" w:themeColor="text1"/>
                      <w:lang w:val="en-US"/>
                    </w:rPr>
                  </w:pPr>
                  <w:r w:rsidRPr="00694259">
                    <w:rPr>
                      <w:b/>
                      <w:bCs/>
                      <w:i/>
                      <w:iCs/>
                      <w:color w:val="000000" w:themeColor="text1"/>
                      <w:lang w:val="en-US"/>
                    </w:rPr>
                    <w:lastRenderedPageBreak/>
                    <w:t>Alignment with facility objectives:</w:t>
                  </w:r>
                  <w:r w:rsidR="00AC7D96" w:rsidRPr="00694259">
                    <w:rPr>
                      <w:i/>
                      <w:iCs/>
                      <w:color w:val="000000" w:themeColor="text1"/>
                      <w:lang w:val="en-US"/>
                    </w:rPr>
                    <w:t xml:space="preserve"> </w:t>
                  </w:r>
                  <w:r w:rsidR="00AC7D96" w:rsidRPr="00694259">
                    <w:rPr>
                      <w:i/>
                      <w:iCs/>
                      <w:color w:val="000000" w:themeColor="text1"/>
                      <w:highlight w:val="yellow"/>
                      <w:lang w:val="en-US"/>
                    </w:rPr>
                    <w:t>Specify how the purpose aligns with the objectives of TRAC2</w:t>
                  </w:r>
                </w:p>
                <w:p w14:paraId="42F46874" w14:textId="5A4B4BD9" w:rsidR="0FB45041" w:rsidRPr="00694259" w:rsidRDefault="168901D1" w:rsidP="69A8F6F5">
                  <w:pPr>
                    <w:rPr>
                      <w:color w:val="000000" w:themeColor="text1"/>
                    </w:rPr>
                  </w:pPr>
                  <w:r w:rsidRPr="00694259">
                    <w:rPr>
                      <w:color w:val="000000" w:themeColor="text1"/>
                    </w:rPr>
                    <w:t>Tout d’abord, cette proposition répond</w:t>
                  </w:r>
                  <w:r w:rsidR="0D21E388" w:rsidRPr="00694259">
                    <w:rPr>
                      <w:color w:val="000000" w:themeColor="text1"/>
                    </w:rPr>
                    <w:t xml:space="preserve"> à </w:t>
                  </w:r>
                  <w:r w:rsidR="0018493C">
                    <w:rPr>
                      <w:b/>
                      <w:bCs/>
                      <w:color w:val="000000" w:themeColor="text1"/>
                    </w:rPr>
                    <w:t>5</w:t>
                  </w:r>
                  <w:r w:rsidR="0D21E388" w:rsidRPr="00694259">
                    <w:rPr>
                      <w:b/>
                      <w:bCs/>
                      <w:color w:val="000000" w:themeColor="text1"/>
                    </w:rPr>
                    <w:t xml:space="preserve"> des 7 domaines d’impact stratégique</w:t>
                  </w:r>
                  <w:r w:rsidR="0D21E388" w:rsidRPr="00694259">
                    <w:rPr>
                      <w:color w:val="000000" w:themeColor="text1"/>
                    </w:rPr>
                    <w:t xml:space="preserve"> énoncés dans les objectifs du TRAC 2 pour 2022:</w:t>
                  </w:r>
                </w:p>
                <w:p w14:paraId="58C056B8" w14:textId="125837C4" w:rsidR="0FB45041" w:rsidRPr="00747667" w:rsidRDefault="285BD557" w:rsidP="00747667">
                  <w:pPr>
                    <w:jc w:val="both"/>
                    <w:rPr>
                      <w:color w:val="000000" w:themeColor="text1"/>
                    </w:rPr>
                  </w:pPr>
                  <w:proofErr w:type="spellStart"/>
                  <w:r w:rsidRPr="00694259">
                    <w:rPr>
                      <w:i/>
                      <w:iCs/>
                      <w:color w:val="000000" w:themeColor="text1"/>
                    </w:rPr>
                    <w:t>Youth</w:t>
                  </w:r>
                  <w:proofErr w:type="spellEnd"/>
                  <w:r w:rsidRPr="00694259">
                    <w:rPr>
                      <w:i/>
                      <w:iCs/>
                      <w:color w:val="000000" w:themeColor="text1"/>
                    </w:rPr>
                    <w:t xml:space="preserve"> and </w:t>
                  </w:r>
                  <w:proofErr w:type="spellStart"/>
                  <w:r w:rsidRPr="00694259">
                    <w:rPr>
                      <w:i/>
                      <w:iCs/>
                      <w:color w:val="000000" w:themeColor="text1"/>
                    </w:rPr>
                    <w:t>women’s</w:t>
                  </w:r>
                  <w:proofErr w:type="spellEnd"/>
                  <w:r w:rsidRPr="00694259">
                    <w:rPr>
                      <w:i/>
                      <w:iCs/>
                      <w:color w:val="000000" w:themeColor="text1"/>
                    </w:rPr>
                    <w:t xml:space="preserve"> </w:t>
                  </w:r>
                  <w:proofErr w:type="spellStart"/>
                  <w:r w:rsidRPr="00694259">
                    <w:rPr>
                      <w:i/>
                      <w:iCs/>
                      <w:color w:val="000000" w:themeColor="text1"/>
                    </w:rPr>
                    <w:t>employment</w:t>
                  </w:r>
                  <w:proofErr w:type="spellEnd"/>
                  <w:r w:rsidRPr="00694259">
                    <w:rPr>
                      <w:i/>
                      <w:iCs/>
                      <w:color w:val="000000" w:themeColor="text1"/>
                    </w:rPr>
                    <w:t xml:space="preserve"> and </w:t>
                  </w:r>
                  <w:proofErr w:type="spellStart"/>
                  <w:r w:rsidRPr="00694259">
                    <w:rPr>
                      <w:i/>
                      <w:iCs/>
                      <w:color w:val="000000" w:themeColor="text1"/>
                    </w:rPr>
                    <w:t>empowerment</w:t>
                  </w:r>
                  <w:proofErr w:type="spellEnd"/>
                  <w:r w:rsidRPr="00694259">
                    <w:rPr>
                      <w:i/>
                      <w:iCs/>
                      <w:color w:val="000000" w:themeColor="text1"/>
                    </w:rPr>
                    <w:t xml:space="preserve"> :</w:t>
                  </w:r>
                  <w:r w:rsidRPr="00694259">
                    <w:rPr>
                      <w:color w:val="000000" w:themeColor="text1"/>
                    </w:rPr>
                    <w:t xml:space="preserve">  l’intégration régionale ne peut se faire sans les jeunes et les femmes</w:t>
                  </w:r>
                  <w:r w:rsidRPr="00694259">
                    <w:rPr>
                      <w:i/>
                      <w:iCs/>
                      <w:color w:val="000000" w:themeColor="text1"/>
                    </w:rPr>
                    <w:t xml:space="preserve">. </w:t>
                  </w:r>
                  <w:r w:rsidRPr="00694259">
                    <w:rPr>
                      <w:color w:val="000000" w:themeColor="text1"/>
                    </w:rPr>
                    <w:t>Pourtant,</w:t>
                  </w:r>
                  <w:r w:rsidRPr="00694259">
                    <w:rPr>
                      <w:i/>
                      <w:iCs/>
                      <w:color w:val="000000" w:themeColor="text1"/>
                    </w:rPr>
                    <w:t xml:space="preserve"> </w:t>
                  </w:r>
                  <w:r w:rsidRPr="00694259">
                    <w:rPr>
                      <w:color w:val="000000" w:themeColor="text1"/>
                    </w:rPr>
                    <w:t xml:space="preserve">l’initiative signature de RBA </w:t>
                  </w:r>
                  <w:r w:rsidRPr="00694259">
                    <w:rPr>
                      <w:i/>
                      <w:iCs/>
                      <w:color w:val="000000" w:themeColor="text1"/>
                    </w:rPr>
                    <w:t xml:space="preserve">Les Futurs de la </w:t>
                  </w:r>
                  <w:proofErr w:type="spellStart"/>
                  <w:r w:rsidRPr="00694259">
                    <w:rPr>
                      <w:i/>
                      <w:iCs/>
                      <w:color w:val="000000" w:themeColor="text1"/>
                    </w:rPr>
                    <w:t>Zlecaf</w:t>
                  </w:r>
                  <w:proofErr w:type="spellEnd"/>
                  <w:r w:rsidRPr="00694259">
                    <w:rPr>
                      <w:i/>
                      <w:iCs/>
                      <w:color w:val="000000" w:themeColor="text1"/>
                    </w:rPr>
                    <w:t> : au service des femmes et des jeunes</w:t>
                  </w:r>
                  <w:r w:rsidRPr="00694259">
                    <w:rPr>
                      <w:color w:val="000000" w:themeColor="text1"/>
                    </w:rPr>
                    <w:t xml:space="preserve"> démontre que ces mêmes groupes sont pénalisés de façon disproportionnée lorsqu’il s’agit de se conformer à des règles commerciales, à identifier des marchés et accéder à des financements pour concrétiser leurs idées de projet.</w:t>
                  </w:r>
                  <w:r w:rsidRPr="00694259">
                    <w:rPr>
                      <w:i/>
                      <w:iCs/>
                      <w:color w:val="000000" w:themeColor="text1"/>
                    </w:rPr>
                    <w:t xml:space="preserve"> </w:t>
                  </w:r>
                  <w:r w:rsidRPr="00694259">
                    <w:rPr>
                      <w:color w:val="000000" w:themeColor="text1"/>
                    </w:rPr>
                    <w:t xml:space="preserve">Notre proposition cherche à répondre à ces défis de façon concrète en renforçant l’encadrement et l’accompagnement de ces jeunes et ces femmes </w:t>
                  </w:r>
                  <w:r w:rsidR="00980331">
                    <w:rPr>
                      <w:color w:val="000000" w:themeColor="text1"/>
                    </w:rPr>
                    <w:t xml:space="preserve">entrepreneurs afin d’améliorer leur compétitivité, </w:t>
                  </w:r>
                  <w:r w:rsidRPr="00694259">
                    <w:rPr>
                      <w:color w:val="000000" w:themeColor="text1"/>
                    </w:rPr>
                    <w:t xml:space="preserve">et en leur facilitant la compréhension des défis et opportunités de la ZLECAf pour leur entreprise, mais aussi en consolidant l’établissement d’un cadre de concertation avec le secteur bancaire comorien afin de faciliter l’accès de ces jeunes et femmes à des financements. Le PNUD s’appuiera aussi sur les initiatives du Bureau régional pour décupler ses efforts au niveau local en appuyant le gouvernement afin de formaliser l’adhésion au </w:t>
                  </w:r>
                  <w:proofErr w:type="spellStart"/>
                  <w:r w:rsidRPr="00694259">
                    <w:rPr>
                      <w:color w:val="000000" w:themeColor="text1"/>
                    </w:rPr>
                    <w:t>Youthconnekt</w:t>
                  </w:r>
                  <w:proofErr w:type="spellEnd"/>
                  <w:r w:rsidRPr="00694259">
                    <w:rPr>
                      <w:color w:val="000000" w:themeColor="text1"/>
                    </w:rPr>
                    <w:t xml:space="preserve">, </w:t>
                  </w:r>
                  <w:r w:rsidR="00CF0939">
                    <w:rPr>
                      <w:color w:val="000000" w:themeColor="text1"/>
                    </w:rPr>
                    <w:t xml:space="preserve">en appuyant l’intégration des jeunes comoriens au sein de la ZLECAf, </w:t>
                  </w:r>
                  <w:r w:rsidRPr="00694259">
                    <w:rPr>
                      <w:color w:val="000000" w:themeColor="text1"/>
                    </w:rPr>
                    <w:t>en mettant en place un Laboratoire d’Accélération qui place les jeunes au cœur des innovations sociales,</w:t>
                  </w:r>
                  <w:r w:rsidR="00CF0939">
                    <w:rPr>
                      <w:color w:val="000000" w:themeColor="text1"/>
                    </w:rPr>
                    <w:t xml:space="preserve"> </w:t>
                  </w:r>
                  <w:r w:rsidRPr="00694259">
                    <w:rPr>
                      <w:color w:val="000000" w:themeColor="text1"/>
                    </w:rPr>
                    <w:t xml:space="preserve">économiques et citoyennes, et en participant au </w:t>
                  </w:r>
                  <w:proofErr w:type="spellStart"/>
                  <w:r w:rsidRPr="00694259">
                    <w:rPr>
                      <w:color w:val="000000" w:themeColor="text1"/>
                    </w:rPr>
                    <w:t>African</w:t>
                  </w:r>
                  <w:proofErr w:type="spellEnd"/>
                  <w:r w:rsidRPr="00694259">
                    <w:rPr>
                      <w:color w:val="000000" w:themeColor="text1"/>
                    </w:rPr>
                    <w:t xml:space="preserve"> Young </w:t>
                  </w:r>
                  <w:proofErr w:type="spellStart"/>
                  <w:r w:rsidRPr="00694259">
                    <w:rPr>
                      <w:color w:val="000000" w:themeColor="text1"/>
                    </w:rPr>
                    <w:t>Women</w:t>
                  </w:r>
                  <w:proofErr w:type="spellEnd"/>
                  <w:r w:rsidRPr="00694259">
                    <w:rPr>
                      <w:color w:val="000000" w:themeColor="text1"/>
                    </w:rPr>
                    <w:t xml:space="preserve"> Leadership programme afin d’encourager la voix des femmes dans le développement durable du continent et particulièrement des SIDS.</w:t>
                  </w:r>
                  <w:r w:rsidR="00A50BC7">
                    <w:rPr>
                      <w:color w:val="000000" w:themeColor="text1"/>
                    </w:rPr>
                    <w:t xml:space="preserve"> Enfin, cette proposition s’appuie sur les possibilités du numérique comme accélérateur de l’intégration régionale des jeunes et des femmes : en renforçant leurs capacités numériques, en les forma</w:t>
                  </w:r>
                  <w:r w:rsidR="004D3CB3">
                    <w:rPr>
                      <w:color w:val="000000" w:themeColor="text1"/>
                    </w:rPr>
                    <w:t>nt dans le e-commerce</w:t>
                  </w:r>
                  <w:r w:rsidR="00440A1F">
                    <w:rPr>
                      <w:color w:val="000000" w:themeColor="text1"/>
                    </w:rPr>
                    <w:t xml:space="preserve"> et l’utilisation de </w:t>
                  </w:r>
                  <w:proofErr w:type="spellStart"/>
                  <w:r w:rsidR="00440A1F">
                    <w:rPr>
                      <w:color w:val="000000" w:themeColor="text1"/>
                    </w:rPr>
                    <w:t>MarketPlace</w:t>
                  </w:r>
                  <w:proofErr w:type="spellEnd"/>
                  <w:r w:rsidR="00440A1F">
                    <w:rPr>
                      <w:color w:val="000000" w:themeColor="text1"/>
                    </w:rPr>
                    <w:t>, et</w:t>
                  </w:r>
                  <w:r w:rsidR="004D3CB3">
                    <w:rPr>
                      <w:color w:val="000000" w:themeColor="text1"/>
                    </w:rPr>
                    <w:t xml:space="preserve"> en créant de nouvelles opportunités de services</w:t>
                  </w:r>
                  <w:r w:rsidR="00440A1F">
                    <w:rPr>
                      <w:color w:val="000000" w:themeColor="text1"/>
                    </w:rPr>
                    <w:t>.</w:t>
                  </w:r>
                </w:p>
                <w:p w14:paraId="46F42CAD" w14:textId="55102C43" w:rsidR="00694259" w:rsidRPr="00747667" w:rsidRDefault="285BD557" w:rsidP="00747667">
                  <w:pPr>
                    <w:jc w:val="both"/>
                    <w:rPr>
                      <w:color w:val="000000" w:themeColor="text1"/>
                    </w:rPr>
                  </w:pPr>
                  <w:r w:rsidRPr="00747667">
                    <w:rPr>
                      <w:i/>
                      <w:iCs/>
                      <w:color w:val="000000" w:themeColor="text1"/>
                    </w:rPr>
                    <w:t>Structural transformation</w:t>
                  </w:r>
                  <w:r w:rsidRPr="00747667">
                    <w:rPr>
                      <w:color w:val="000000" w:themeColor="text1"/>
                    </w:rPr>
                    <w:t>: l’intégration du pays de la ZLECAf aura des impacts</w:t>
                  </w:r>
                  <w:r w:rsidR="002E1A23" w:rsidRPr="00747667">
                    <w:rPr>
                      <w:color w:val="000000" w:themeColor="text1"/>
                    </w:rPr>
                    <w:t xml:space="preserve"> sur la transformation </w:t>
                  </w:r>
                  <w:r w:rsidR="00980331" w:rsidRPr="00980331">
                    <w:rPr>
                      <w:color w:val="000000" w:themeColor="text1"/>
                    </w:rPr>
                    <w:t>économique</w:t>
                  </w:r>
                  <w:r w:rsidR="002E1A23" w:rsidRPr="00747667">
                    <w:rPr>
                      <w:color w:val="000000" w:themeColor="text1"/>
                    </w:rPr>
                    <w:t xml:space="preserve"> qui est un </w:t>
                  </w:r>
                  <w:r w:rsidR="00980331" w:rsidRPr="00980331">
                    <w:rPr>
                      <w:color w:val="000000" w:themeColor="text1"/>
                    </w:rPr>
                    <w:t>élément</w:t>
                  </w:r>
                  <w:r w:rsidR="002E1A23" w:rsidRPr="00747667">
                    <w:rPr>
                      <w:color w:val="000000" w:themeColor="text1"/>
                    </w:rPr>
                    <w:t xml:space="preserve"> d</w:t>
                  </w:r>
                  <w:r w:rsidR="00980331">
                    <w:rPr>
                      <w:color w:val="000000" w:themeColor="text1"/>
                    </w:rPr>
                    <w:t xml:space="preserve">éterminant dans </w:t>
                  </w:r>
                  <w:r w:rsidR="002E1A23" w:rsidRPr="00747667">
                    <w:rPr>
                      <w:color w:val="000000" w:themeColor="text1"/>
                    </w:rPr>
                    <w:t xml:space="preserve"> la </w:t>
                  </w:r>
                  <w:r w:rsidR="00980331" w:rsidRPr="00980331">
                    <w:rPr>
                      <w:color w:val="000000" w:themeColor="text1"/>
                    </w:rPr>
                    <w:t>stratégie</w:t>
                  </w:r>
                  <w:r w:rsidR="002E1A23" w:rsidRPr="00747667">
                    <w:rPr>
                      <w:color w:val="000000" w:themeColor="text1"/>
                    </w:rPr>
                    <w:t xml:space="preserve"> d’</w:t>
                  </w:r>
                  <w:r w:rsidR="00980331" w:rsidRPr="00980331">
                    <w:rPr>
                      <w:color w:val="000000" w:themeColor="text1"/>
                    </w:rPr>
                    <w:t>émergence</w:t>
                  </w:r>
                  <w:r w:rsidR="002E1A23" w:rsidRPr="00747667">
                    <w:rPr>
                      <w:color w:val="000000" w:themeColor="text1"/>
                    </w:rPr>
                    <w:t xml:space="preserve"> des Comoros.  Ceci va impliquer des impacts</w:t>
                  </w:r>
                  <w:r w:rsidRPr="00747667">
                    <w:rPr>
                      <w:color w:val="000000" w:themeColor="text1"/>
                    </w:rPr>
                    <w:t xml:space="preserve"> importants sur la gestion des recettes fiscales du pays (des propositions d’ajustements internes sont déjà à l’étude), </w:t>
                  </w:r>
                  <w:r w:rsidR="00980331">
                    <w:rPr>
                      <w:color w:val="000000" w:themeColor="text1"/>
                    </w:rPr>
                    <w:t>les investissements publics et privés. L</w:t>
                  </w:r>
                  <w:r w:rsidRPr="00747667">
                    <w:rPr>
                      <w:color w:val="000000" w:themeColor="text1"/>
                    </w:rPr>
                    <w:t xml:space="preserve">es effets d’un marché plus ouvert et concurrentiel seront également à prendre en compte, </w:t>
                  </w:r>
                  <w:r w:rsidR="00980331">
                    <w:rPr>
                      <w:color w:val="000000" w:themeColor="text1"/>
                    </w:rPr>
                    <w:t xml:space="preserve">de même que la nécessité de </w:t>
                  </w:r>
                  <w:r w:rsidRPr="00747667">
                    <w:rPr>
                      <w:color w:val="000000" w:themeColor="text1"/>
                    </w:rPr>
                    <w:t xml:space="preserve">besoin de diversification économique pour être plus résilient mais aussi créer de la valeur, le tout dans une démarche de transition écologique (donc en essayant de se positionner sur une niche de produits verts, …) </w:t>
                  </w:r>
                </w:p>
                <w:p w14:paraId="4A46CA17" w14:textId="3F073586" w:rsidR="00694259" w:rsidRPr="00B255EE" w:rsidRDefault="285BD557" w:rsidP="00B255EE">
                  <w:pPr>
                    <w:jc w:val="both"/>
                    <w:rPr>
                      <w:color w:val="000000" w:themeColor="text1"/>
                    </w:rPr>
                  </w:pPr>
                  <w:r w:rsidRPr="00B255EE">
                    <w:rPr>
                      <w:i/>
                      <w:iCs/>
                      <w:color w:val="000000" w:themeColor="text1"/>
                    </w:rPr>
                    <w:t>Climate change mitigation and adaptation</w:t>
                  </w:r>
                  <w:r w:rsidRPr="00B255EE">
                    <w:rPr>
                      <w:color w:val="000000" w:themeColor="text1"/>
                    </w:rPr>
                    <w:t xml:space="preserve"> : le PNUD appuie particulièrement l’entreprenariat jeune et féminin tourné vers l’avenir et qui prend ainsi en compte les problématiques de développement durable. Les jeunes entrepreneurs qui seront accompagnés dans le cadre de ce projet seront aussi sensibilisés aux enjeux du développement durable</w:t>
                  </w:r>
                  <w:r w:rsidR="00440A1F" w:rsidRPr="00B255EE">
                    <w:rPr>
                      <w:color w:val="000000" w:themeColor="text1"/>
                    </w:rPr>
                    <w:t xml:space="preserve"> et encouragés à adopter des pratiques respectueuses de l’environnement.</w:t>
                  </w:r>
                  <w:r w:rsidRPr="00B255EE">
                    <w:rPr>
                      <w:color w:val="000000" w:themeColor="text1"/>
                    </w:rPr>
                    <w:t xml:space="preserve"> </w:t>
                  </w:r>
                </w:p>
                <w:p w14:paraId="23657195" w14:textId="29CFA761" w:rsidR="0FB45041" w:rsidRDefault="285BD557" w:rsidP="00B255EE">
                  <w:pPr>
                    <w:jc w:val="both"/>
                    <w:rPr>
                      <w:color w:val="000000" w:themeColor="text1"/>
                    </w:rPr>
                  </w:pPr>
                  <w:proofErr w:type="spellStart"/>
                  <w:r w:rsidRPr="00B255EE">
                    <w:rPr>
                      <w:i/>
                      <w:iCs/>
                      <w:color w:val="000000" w:themeColor="text1"/>
                    </w:rPr>
                    <w:lastRenderedPageBreak/>
                    <w:t>Peace</w:t>
                  </w:r>
                  <w:proofErr w:type="spellEnd"/>
                  <w:r w:rsidRPr="00B255EE">
                    <w:rPr>
                      <w:i/>
                      <w:iCs/>
                      <w:color w:val="000000" w:themeColor="text1"/>
                    </w:rPr>
                    <w:t xml:space="preserve"> and </w:t>
                  </w:r>
                  <w:proofErr w:type="spellStart"/>
                  <w:r w:rsidRPr="00B255EE">
                    <w:rPr>
                      <w:i/>
                      <w:iCs/>
                      <w:color w:val="000000" w:themeColor="text1"/>
                    </w:rPr>
                    <w:t>security</w:t>
                  </w:r>
                  <w:proofErr w:type="spellEnd"/>
                  <w:r w:rsidRPr="00B255EE">
                    <w:rPr>
                      <w:color w:val="000000" w:themeColor="text1"/>
                    </w:rPr>
                    <w:t xml:space="preserve"> : l’identification d’opportunités socioéconomiques pour les jeunes et les femmes est un élément fondamental pour renforcer la cohésion sociale et la consolidation de la paix. La mission du Siège sur la cohésion sociale du mois de janvier 2022 a confirmé l’importance de renforcer l’intégration socioéconomique des jeunes, des femmes et des personnes vivant avec handicap (PVH) dans la stratégie d’intervention du PNUD et de ses partenaires.</w:t>
                  </w:r>
                </w:p>
                <w:p w14:paraId="1E550DC8" w14:textId="599A24CE" w:rsidR="00F01C5C" w:rsidRPr="00B255EE" w:rsidRDefault="00110B52" w:rsidP="00B255EE">
                  <w:pPr>
                    <w:jc w:val="both"/>
                    <w:rPr>
                      <w:color w:val="000000" w:themeColor="text1"/>
                    </w:rPr>
                  </w:pPr>
                  <w:r w:rsidRPr="00BC6167">
                    <w:rPr>
                      <w:i/>
                      <w:iCs/>
                      <w:color w:val="000000" w:themeColor="text1"/>
                    </w:rPr>
                    <w:t>Transformer les Universités Publiques</w:t>
                  </w:r>
                  <w:r>
                    <w:rPr>
                      <w:color w:val="000000" w:themeColor="text1"/>
                    </w:rPr>
                    <w:t> : le projet va renforcer son partenariat avec les Universités publiques en les intégrant d’une part dans le réseau de l’Accelerator Lab, et, d’autre part, en mettant en place des espaces de connexion et d’ouverture. Ces actions vont poser les bases d’un partenariat renforcé au cours des années à venir, et ce tel qu’indiqué dans le programme pays du PNUD aux Comores pour la période 2022-2026.</w:t>
                  </w:r>
                </w:p>
                <w:p w14:paraId="300BFB50" w14:textId="129D36A4" w:rsidR="0FB45041" w:rsidRPr="00694259" w:rsidRDefault="3C436654" w:rsidP="69A8F6F5">
                  <w:pPr>
                    <w:rPr>
                      <w:i/>
                      <w:iCs/>
                      <w:color w:val="000000" w:themeColor="text1"/>
                    </w:rPr>
                  </w:pPr>
                  <w:r w:rsidRPr="00694259">
                    <w:rPr>
                      <w:i/>
                      <w:iCs/>
                      <w:color w:val="000000" w:themeColor="text1"/>
                    </w:rPr>
                    <w:t xml:space="preserve">De plus, cette proposition est articulée autour </w:t>
                  </w:r>
                  <w:r w:rsidRPr="00694259">
                    <w:rPr>
                      <w:b/>
                      <w:bCs/>
                      <w:i/>
                      <w:iCs/>
                      <w:color w:val="000000" w:themeColor="text1"/>
                    </w:rPr>
                    <w:t>d’initiatives promues dans le cadre de ce financement</w:t>
                  </w:r>
                  <w:r w:rsidRPr="00694259">
                    <w:rPr>
                      <w:i/>
                      <w:iCs/>
                      <w:color w:val="000000" w:themeColor="text1"/>
                    </w:rPr>
                    <w:t xml:space="preserve"> pour l’année 2022</w:t>
                  </w:r>
                  <w:r w:rsidR="0AC6FD82" w:rsidRPr="00694259">
                    <w:rPr>
                      <w:i/>
                      <w:iCs/>
                      <w:color w:val="000000" w:themeColor="text1"/>
                    </w:rPr>
                    <w:t xml:space="preserve"> et qui auront des </w:t>
                  </w:r>
                  <w:r w:rsidR="0AC6FD82" w:rsidRPr="00BC6167">
                    <w:rPr>
                      <w:b/>
                      <w:bCs/>
                      <w:i/>
                      <w:iCs/>
                      <w:color w:val="000000" w:themeColor="text1"/>
                    </w:rPr>
                    <w:t xml:space="preserve">effets </w:t>
                  </w:r>
                  <w:r w:rsidR="006B0D21" w:rsidRPr="00BC6167">
                    <w:rPr>
                      <w:b/>
                      <w:bCs/>
                      <w:i/>
                      <w:iCs/>
                      <w:color w:val="000000" w:themeColor="text1"/>
                    </w:rPr>
                    <w:t>catalytiques</w:t>
                  </w:r>
                  <w:r w:rsidR="006B0D21" w:rsidRPr="00694259">
                    <w:rPr>
                      <w:i/>
                      <w:iCs/>
                      <w:color w:val="000000" w:themeColor="text1"/>
                    </w:rPr>
                    <w:t xml:space="preserve"> :</w:t>
                  </w:r>
                </w:p>
                <w:p w14:paraId="6143D16B" w14:textId="2407D91B" w:rsidR="0FB45041" w:rsidRPr="00694259" w:rsidRDefault="286305B5" w:rsidP="00694259">
                  <w:pPr>
                    <w:pStyle w:val="Paragraphedeliste"/>
                    <w:numPr>
                      <w:ilvl w:val="0"/>
                      <w:numId w:val="15"/>
                    </w:numPr>
                    <w:jc w:val="both"/>
                    <w:rPr>
                      <w:rFonts w:eastAsiaTheme="minorEastAsia"/>
                      <w:i/>
                      <w:iCs/>
                      <w:color w:val="000000" w:themeColor="text1"/>
                    </w:rPr>
                  </w:pPr>
                  <w:r w:rsidRPr="00694259">
                    <w:rPr>
                      <w:i/>
                      <w:iCs/>
                      <w:color w:val="000000" w:themeColor="text1"/>
                    </w:rPr>
                    <w:t xml:space="preserve">Partenariats : </w:t>
                  </w:r>
                  <w:r w:rsidRPr="00694259">
                    <w:rPr>
                      <w:color w:val="000000" w:themeColor="text1"/>
                    </w:rPr>
                    <w:t xml:space="preserve">dans le cadre de ce projet, le PNUD va </w:t>
                  </w:r>
                  <w:r w:rsidR="00593E4C">
                    <w:rPr>
                      <w:color w:val="000000" w:themeColor="text1"/>
                    </w:rPr>
                    <w:t xml:space="preserve">notamment </w:t>
                  </w:r>
                  <w:r w:rsidRPr="00694259">
                    <w:rPr>
                      <w:color w:val="000000" w:themeColor="text1"/>
                    </w:rPr>
                    <w:t xml:space="preserve">travailler de concert avec la </w:t>
                  </w:r>
                  <w:r w:rsidR="00862B75">
                    <w:rPr>
                      <w:color w:val="000000" w:themeColor="text1"/>
                    </w:rPr>
                    <w:t xml:space="preserve">CEA, la </w:t>
                  </w:r>
                  <w:r w:rsidRPr="00694259">
                    <w:rPr>
                      <w:color w:val="000000" w:themeColor="text1"/>
                    </w:rPr>
                    <w:t>CNUCED</w:t>
                  </w:r>
                  <w:r w:rsidR="00B56952">
                    <w:rPr>
                      <w:color w:val="000000" w:themeColor="text1"/>
                    </w:rPr>
                    <w:t>, UNIDO</w:t>
                  </w:r>
                  <w:r w:rsidR="00270781">
                    <w:rPr>
                      <w:color w:val="000000" w:themeColor="text1"/>
                    </w:rPr>
                    <w:t>,</w:t>
                  </w:r>
                  <w:r w:rsidRPr="00694259">
                    <w:rPr>
                      <w:color w:val="000000" w:themeColor="text1"/>
                    </w:rPr>
                    <w:t xml:space="preserve"> la CCI</w:t>
                  </w:r>
                  <w:r w:rsidR="33AACC75" w:rsidRPr="00694259">
                    <w:rPr>
                      <w:color w:val="000000" w:themeColor="text1"/>
                    </w:rPr>
                    <w:t xml:space="preserve"> </w:t>
                  </w:r>
                  <w:r w:rsidR="00CE212D">
                    <w:rPr>
                      <w:color w:val="000000" w:themeColor="text1"/>
                    </w:rPr>
                    <w:t xml:space="preserve">et le BIT </w:t>
                  </w:r>
                  <w:r w:rsidR="33AACC75" w:rsidRPr="00694259">
                    <w:rPr>
                      <w:color w:val="000000" w:themeColor="text1"/>
                    </w:rPr>
                    <w:t>pour préparer l’Union des Comores à ratifier l’accord de la ZLECAf et assurer que cette opportunité sera réelle pour les jeunes et les femmes du pays</w:t>
                  </w:r>
                  <w:r w:rsidR="63CD8327" w:rsidRPr="00694259">
                    <w:rPr>
                      <w:color w:val="000000" w:themeColor="text1"/>
                    </w:rPr>
                    <w:t xml:space="preserve">, incluant les ressortissants de la diaspora. </w:t>
                  </w:r>
                  <w:r w:rsidR="120669CD" w:rsidRPr="00694259">
                    <w:rPr>
                      <w:color w:val="000000" w:themeColor="text1"/>
                    </w:rPr>
                    <w:t xml:space="preserve">Le PNUD appuie </w:t>
                  </w:r>
                  <w:r w:rsidR="00F00140">
                    <w:rPr>
                      <w:color w:val="000000" w:themeColor="text1"/>
                    </w:rPr>
                    <w:t xml:space="preserve">ainsi </w:t>
                  </w:r>
                  <w:r w:rsidR="120669CD" w:rsidRPr="00694259">
                    <w:rPr>
                      <w:color w:val="000000" w:themeColor="text1"/>
                    </w:rPr>
                    <w:t xml:space="preserve">un processus d’intégration </w:t>
                  </w:r>
                  <w:r w:rsidR="480B84C1" w:rsidRPr="00694259">
                    <w:rPr>
                      <w:color w:val="000000" w:themeColor="text1"/>
                    </w:rPr>
                    <w:t xml:space="preserve">qui </w:t>
                  </w:r>
                  <w:r w:rsidR="00B56952">
                    <w:rPr>
                      <w:color w:val="000000" w:themeColor="text1"/>
                    </w:rPr>
                    <w:t>est</w:t>
                  </w:r>
                  <w:r w:rsidR="480B84C1" w:rsidRPr="00694259">
                    <w:rPr>
                      <w:color w:val="000000" w:themeColor="text1"/>
                    </w:rPr>
                    <w:t xml:space="preserve"> réfléchi par les acteurs clé de la société, et </w:t>
                  </w:r>
                  <w:r w:rsidR="120669CD" w:rsidRPr="00694259">
                    <w:rPr>
                      <w:color w:val="000000" w:themeColor="text1"/>
                    </w:rPr>
                    <w:t>qui inclut</w:t>
                  </w:r>
                  <w:r w:rsidR="5CF449A4" w:rsidRPr="00694259">
                    <w:rPr>
                      <w:color w:val="000000" w:themeColor="text1"/>
                    </w:rPr>
                    <w:t xml:space="preserve"> ainsi des</w:t>
                  </w:r>
                  <w:r w:rsidR="37BD858F" w:rsidRPr="00694259">
                    <w:rPr>
                      <w:color w:val="000000" w:themeColor="text1"/>
                    </w:rPr>
                    <w:t xml:space="preserve"> </w:t>
                  </w:r>
                  <w:r w:rsidR="120669CD" w:rsidRPr="00694259">
                    <w:rPr>
                      <w:color w:val="000000" w:themeColor="text1"/>
                    </w:rPr>
                    <w:t>représentants des secteurs publics et privés, de la société civile et des Universités.</w:t>
                  </w:r>
                  <w:r w:rsidR="51CC0F97" w:rsidRPr="00694259">
                    <w:rPr>
                      <w:color w:val="000000" w:themeColor="text1"/>
                    </w:rPr>
                    <w:t xml:space="preserve"> </w:t>
                  </w:r>
                  <w:r w:rsidR="005029CA">
                    <w:rPr>
                      <w:color w:val="000000" w:themeColor="text1"/>
                    </w:rPr>
                    <w:t>Le partage d’expérience avec d’autres P</w:t>
                  </w:r>
                  <w:r w:rsidR="00AF6789">
                    <w:rPr>
                      <w:color w:val="000000" w:themeColor="text1"/>
                    </w:rPr>
                    <w:t>EI</w:t>
                  </w:r>
                  <w:r w:rsidR="005029CA">
                    <w:rPr>
                      <w:color w:val="000000" w:themeColor="text1"/>
                    </w:rPr>
                    <w:t xml:space="preserve">D de la région </w:t>
                  </w:r>
                  <w:r w:rsidR="00593E4C">
                    <w:rPr>
                      <w:color w:val="000000" w:themeColor="text1"/>
                    </w:rPr>
                    <w:t xml:space="preserve">sur le processus d’intégration et la dynamisation des PMEs </w:t>
                  </w:r>
                  <w:r w:rsidR="005029CA">
                    <w:rPr>
                      <w:color w:val="000000" w:themeColor="text1"/>
                    </w:rPr>
                    <w:t xml:space="preserve">et la mise en relation de l’Union des chambres de commerce avec ses homologues </w:t>
                  </w:r>
                  <w:r w:rsidR="00AF6789">
                    <w:rPr>
                      <w:color w:val="000000" w:themeColor="text1"/>
                    </w:rPr>
                    <w:t>continentaux</w:t>
                  </w:r>
                  <w:r w:rsidR="005029CA">
                    <w:rPr>
                      <w:color w:val="000000" w:themeColor="text1"/>
                    </w:rPr>
                    <w:t xml:space="preserve"> vont également redynamiser une coopération Sud/sud sur cette thématique.</w:t>
                  </w:r>
                  <w:r w:rsidR="00593E4C">
                    <w:rPr>
                      <w:color w:val="000000" w:themeColor="text1"/>
                    </w:rPr>
                    <w:t xml:space="preserve"> Enfin, le PNUD va renforcer sa collaboration avec les organisations de jeunes et de femmes afin d’assurer d’une part que les préoccupations des jeunes et des femmes soient prises en compte, et pour assurer un accompagnement de proximité.</w:t>
                  </w:r>
                </w:p>
                <w:p w14:paraId="09075543" w14:textId="1956B8F1" w:rsidR="0FB45041" w:rsidRPr="00694259" w:rsidRDefault="73363C1B" w:rsidP="69A8F6F5">
                  <w:pPr>
                    <w:spacing w:line="257" w:lineRule="auto"/>
                    <w:jc w:val="both"/>
                    <w:rPr>
                      <w:rFonts w:ascii="Calibri" w:eastAsia="Calibri" w:hAnsi="Calibri" w:cs="Calibri"/>
                      <w:color w:val="000000" w:themeColor="text1"/>
                      <w:lang w:val="fr"/>
                    </w:rPr>
                  </w:pPr>
                  <w:r w:rsidRPr="00694259">
                    <w:rPr>
                      <w:rFonts w:ascii="Calibri" w:eastAsia="Calibri" w:hAnsi="Calibri" w:cs="Calibri"/>
                      <w:color w:val="000000" w:themeColor="text1"/>
                      <w:lang w:val="fr"/>
                    </w:rPr>
                    <w:t xml:space="preserve">Enfin, cette proposition est aussi pensée pour </w:t>
                  </w:r>
                  <w:r w:rsidRPr="00694259">
                    <w:rPr>
                      <w:rFonts w:ascii="Calibri" w:eastAsia="Calibri" w:hAnsi="Calibri" w:cs="Calibri"/>
                      <w:i/>
                      <w:iCs/>
                      <w:color w:val="000000" w:themeColor="text1"/>
                      <w:lang w:val="fr"/>
                    </w:rPr>
                    <w:t xml:space="preserve">jouer </w:t>
                  </w:r>
                  <w:r w:rsidRPr="00694259">
                    <w:rPr>
                      <w:rFonts w:ascii="Calibri" w:eastAsia="Calibri" w:hAnsi="Calibri" w:cs="Calibri"/>
                      <w:b/>
                      <w:bCs/>
                      <w:i/>
                      <w:iCs/>
                      <w:color w:val="000000" w:themeColor="text1"/>
                      <w:lang w:val="fr"/>
                    </w:rPr>
                    <w:t>un rôle catalytique</w:t>
                  </w:r>
                  <w:r w:rsidRPr="00694259">
                    <w:rPr>
                      <w:rFonts w:ascii="Calibri" w:eastAsia="Calibri" w:hAnsi="Calibri" w:cs="Calibri"/>
                      <w:b/>
                      <w:bCs/>
                      <w:color w:val="000000" w:themeColor="text1"/>
                      <w:lang w:val="fr"/>
                    </w:rPr>
                    <w:t>,</w:t>
                  </w:r>
                  <w:r w:rsidRPr="00694259">
                    <w:rPr>
                      <w:rFonts w:ascii="Calibri" w:eastAsia="Calibri" w:hAnsi="Calibri" w:cs="Calibri"/>
                      <w:color w:val="000000" w:themeColor="text1"/>
                      <w:lang w:val="fr"/>
                    </w:rPr>
                    <w:t xml:space="preserve"> articulant les priorités du pays en matière d’investissement sur sa jeunesse et l’inclusion de tous et toutes, d’une meilleure inclusion régionale et de mobilisation d’innovations et d’une communication stratégique pensée pour se déployer dans les directions suivantes : </w:t>
                  </w:r>
                </w:p>
                <w:p w14:paraId="4F20BE57" w14:textId="02C55135" w:rsidR="0FB45041" w:rsidRPr="00694259" w:rsidRDefault="73363C1B" w:rsidP="69A8F6F5">
                  <w:pPr>
                    <w:pStyle w:val="Paragraphedeliste"/>
                    <w:numPr>
                      <w:ilvl w:val="0"/>
                      <w:numId w:val="2"/>
                    </w:numPr>
                    <w:jc w:val="both"/>
                    <w:rPr>
                      <w:rFonts w:eastAsiaTheme="minorEastAsia"/>
                      <w:color w:val="000000" w:themeColor="text1"/>
                      <w:lang w:val="fr"/>
                    </w:rPr>
                  </w:pPr>
                  <w:r w:rsidRPr="00694259">
                    <w:rPr>
                      <w:rFonts w:ascii="Calibri" w:eastAsia="Calibri" w:hAnsi="Calibri" w:cs="Calibri"/>
                      <w:color w:val="000000" w:themeColor="text1"/>
                      <w:lang w:val="fr"/>
                    </w:rPr>
                    <w:t>Dans le pays : valoriser et désenclaver les acteurs économiques par la promotion d’une image positive de la ZLECAf articulée autour de l’ouverture aux échanges et au monde et mettre en avant les opportunités qui en découlent, pour le pays dans son ensemble et pour les populations les moins favorisées en particulier</w:t>
                  </w:r>
                </w:p>
                <w:p w14:paraId="0895FB02" w14:textId="33962C26" w:rsidR="0FB45041" w:rsidRPr="00694259" w:rsidRDefault="73363C1B" w:rsidP="69A8F6F5">
                  <w:pPr>
                    <w:pStyle w:val="Paragraphedeliste"/>
                    <w:numPr>
                      <w:ilvl w:val="0"/>
                      <w:numId w:val="2"/>
                    </w:numPr>
                    <w:jc w:val="both"/>
                    <w:rPr>
                      <w:rFonts w:eastAsiaTheme="minorEastAsia"/>
                      <w:color w:val="000000" w:themeColor="text1"/>
                      <w:lang w:val="fr"/>
                    </w:rPr>
                  </w:pPr>
                  <w:r w:rsidRPr="00694259">
                    <w:rPr>
                      <w:rFonts w:ascii="Calibri" w:eastAsia="Calibri" w:hAnsi="Calibri" w:cs="Calibri"/>
                      <w:color w:val="000000" w:themeColor="text1"/>
                      <w:lang w:val="fr"/>
                    </w:rPr>
                    <w:t>Vers les partenaires externes au pays : promouvoir les Comores comme un pays jeune, dynamique, accessible, porteuses d’opportunités pour les partenaires</w:t>
                  </w:r>
                </w:p>
                <w:p w14:paraId="4DD5D01D" w14:textId="45D25D6E" w:rsidR="00E5571E" w:rsidRPr="00694259" w:rsidRDefault="5C3FE83D" w:rsidP="0FB45041">
                  <w:pPr>
                    <w:rPr>
                      <w:color w:val="000000" w:themeColor="text1"/>
                    </w:rPr>
                  </w:pPr>
                  <w:r w:rsidRPr="00694259">
                    <w:rPr>
                      <w:color w:val="000000" w:themeColor="text1"/>
                    </w:rPr>
                    <w:t xml:space="preserve">L’ensemble de ces contributions doit </w:t>
                  </w:r>
                  <w:r w:rsidR="5CC0EC18" w:rsidRPr="00694259">
                    <w:rPr>
                      <w:color w:val="000000" w:themeColor="text1"/>
                    </w:rPr>
                    <w:t>contribuer à l’augmentation de la résilience du pays</w:t>
                  </w:r>
                  <w:r w:rsidR="00AD5184" w:rsidRPr="00694259">
                    <w:rPr>
                      <w:color w:val="000000" w:themeColor="text1"/>
                    </w:rPr>
                    <w:t xml:space="preserve"> et contribuer à la transition écologique accélérée du pays.</w:t>
                  </w:r>
                </w:p>
              </w:tc>
              <w:tc>
                <w:tcPr>
                  <w:tcW w:w="0" w:type="auto"/>
                  <w:tcBorders>
                    <w:top w:val="nil"/>
                    <w:left w:val="nil"/>
                    <w:bottom w:val="nil"/>
                    <w:right w:val="nil"/>
                  </w:tcBorders>
                  <w:tcMar>
                    <w:top w:w="60" w:type="dxa"/>
                    <w:left w:w="75" w:type="dxa"/>
                    <w:bottom w:w="60" w:type="dxa"/>
                    <w:right w:w="330" w:type="dxa"/>
                  </w:tcMar>
                  <w:hideMark/>
                </w:tcPr>
                <w:p w14:paraId="1E9DBE55" w14:textId="77777777" w:rsidR="00E5571E" w:rsidRPr="00E5571E" w:rsidRDefault="00E5571E" w:rsidP="00E5571E">
                  <w:r w:rsidRPr="00E5571E">
                    <w:lastRenderedPageBreak/>
                    <w:t>​</w:t>
                  </w:r>
                </w:p>
              </w:tc>
            </w:tr>
            <w:tr w:rsidR="00827824" w:rsidRPr="00E5571E" w14:paraId="2E67314C" w14:textId="77777777" w:rsidTr="69A8F6F5">
              <w:trPr>
                <w:trHeight w:val="450"/>
              </w:trPr>
              <w:tc>
                <w:tcPr>
                  <w:tcW w:w="0" w:type="auto"/>
                  <w:tcBorders>
                    <w:top w:val="nil"/>
                    <w:left w:val="nil"/>
                    <w:bottom w:val="nil"/>
                    <w:right w:val="nil"/>
                  </w:tcBorders>
                  <w:tcMar>
                    <w:top w:w="60" w:type="dxa"/>
                    <w:left w:w="330" w:type="dxa"/>
                    <w:bottom w:w="60" w:type="dxa"/>
                    <w:right w:w="75" w:type="dxa"/>
                  </w:tcMar>
                  <w:hideMark/>
                </w:tcPr>
                <w:p w14:paraId="41A464D7" w14:textId="77777777" w:rsidR="00E5571E" w:rsidRDefault="00E5571E" w:rsidP="00E5571E">
                  <w:pPr>
                    <w:rPr>
                      <w:b/>
                      <w:bCs/>
                      <w:i/>
                      <w:iCs/>
                    </w:rPr>
                  </w:pPr>
                  <w:proofErr w:type="spellStart"/>
                  <w:r w:rsidRPr="00E5571E">
                    <w:rPr>
                      <w:b/>
                      <w:bCs/>
                      <w:i/>
                      <w:iCs/>
                    </w:rPr>
                    <w:lastRenderedPageBreak/>
                    <w:t>Alignment</w:t>
                  </w:r>
                  <w:proofErr w:type="spellEnd"/>
                  <w:r w:rsidRPr="00E5571E">
                    <w:rPr>
                      <w:b/>
                      <w:bCs/>
                      <w:i/>
                      <w:iCs/>
                    </w:rPr>
                    <w:t xml:space="preserve"> with </w:t>
                  </w:r>
                  <w:proofErr w:type="spellStart"/>
                  <w:r w:rsidRPr="00E5571E">
                    <w:rPr>
                      <w:b/>
                      <w:bCs/>
                      <w:i/>
                      <w:iCs/>
                    </w:rPr>
                    <w:t>regional</w:t>
                  </w:r>
                  <w:proofErr w:type="spellEnd"/>
                  <w:r w:rsidRPr="00E5571E">
                    <w:rPr>
                      <w:b/>
                      <w:bCs/>
                      <w:i/>
                      <w:iCs/>
                    </w:rPr>
                    <w:t xml:space="preserve"> </w:t>
                  </w:r>
                  <w:proofErr w:type="spellStart"/>
                  <w:r w:rsidRPr="00E5571E">
                    <w:rPr>
                      <w:b/>
                      <w:bCs/>
                      <w:i/>
                      <w:iCs/>
                    </w:rPr>
                    <w:t>priorities</w:t>
                  </w:r>
                  <w:proofErr w:type="spellEnd"/>
                  <w:r w:rsidRPr="00E5571E">
                    <w:rPr>
                      <w:b/>
                      <w:bCs/>
                      <w:i/>
                      <w:iCs/>
                    </w:rPr>
                    <w:t>:</w:t>
                  </w:r>
                </w:p>
                <w:p w14:paraId="40E96685" w14:textId="112CD913" w:rsidR="7D1D567C" w:rsidRDefault="7D1D567C" w:rsidP="0FB45041">
                  <w:r>
                    <w:t>Cette proposition est issue des grandes orientations et priorités régionales</w:t>
                  </w:r>
                  <w:r w:rsidR="003B0D46">
                    <w:t xml:space="preserve"> de l’Union Africaine</w:t>
                  </w:r>
                  <w:r w:rsidR="0D191C03">
                    <w:t>, du Bureau régional</w:t>
                  </w:r>
                  <w:r w:rsidR="003B0D46">
                    <w:t xml:space="preserve"> </w:t>
                  </w:r>
                  <w:r w:rsidR="00AD5184">
                    <w:t>et contribue également aux</w:t>
                  </w:r>
                  <w:r w:rsidR="003B0D46">
                    <w:t xml:space="preserve"> priorités nationales de l’Union des C</w:t>
                  </w:r>
                  <w:r w:rsidR="00AD5184">
                    <w:t>o</w:t>
                  </w:r>
                  <w:r w:rsidR="003B0D46">
                    <w:t>mores</w:t>
                  </w:r>
                  <w:r w:rsidR="11CCC8C7">
                    <w:t>.</w:t>
                  </w:r>
                </w:p>
                <w:p w14:paraId="46B359F7" w14:textId="5AA71E36" w:rsidR="00BB6EBF" w:rsidRPr="00380052" w:rsidRDefault="5352FD14" w:rsidP="5550D510">
                  <w:pPr>
                    <w:jc w:val="both"/>
                    <w:rPr>
                      <w:i/>
                      <w:iCs/>
                    </w:rPr>
                  </w:pPr>
                  <w:r>
                    <w:t>L</w:t>
                  </w:r>
                  <w:r w:rsidR="000F0D7C">
                    <w:t xml:space="preserve">’Union Africaine présente </w:t>
                  </w:r>
                  <w:r w:rsidR="4228D212">
                    <w:t xml:space="preserve">dans son Agenda 2063 </w:t>
                  </w:r>
                  <w:r w:rsidR="000F0D7C">
                    <w:t xml:space="preserve">une vision déterminée de développement inclusif et durable et cherche à obtenir des résultats transformationnels </w:t>
                  </w:r>
                  <w:r w:rsidR="005D1D29">
                    <w:t xml:space="preserve">qui bénéficieront </w:t>
                  </w:r>
                  <w:r w:rsidR="000F0D7C">
                    <w:t xml:space="preserve">chacun des pays qui la compose. </w:t>
                  </w:r>
                  <w:r w:rsidR="000F0D7C" w:rsidRPr="5550D510">
                    <w:rPr>
                      <w:i/>
                      <w:iCs/>
                    </w:rPr>
                    <w:t>L’Afrique intégrée</w:t>
                  </w:r>
                  <w:r w:rsidR="000F0D7C">
                    <w:t xml:space="preserve"> est un de ses objectifs de transformation car cette intégration doit donner vie à de nouvelles opportunités de croissance</w:t>
                  </w:r>
                  <w:r w:rsidR="007D7301">
                    <w:t xml:space="preserve"> qui devront aussi améliorer la qualité de vie de l’ensemble des habitants du continent. Ainsi, la mise en place d’un environnement habilitant pour favoriser l’intégration réussie des </w:t>
                  </w:r>
                  <w:r w:rsidR="005D1D29">
                    <w:t>Comores au sein de la ZLECAf contribue directement aux objectifs de l’UA.</w:t>
                  </w:r>
                </w:p>
                <w:p w14:paraId="7286A7F1" w14:textId="454BF854" w:rsidR="00C30D0B" w:rsidRDefault="00AF6789" w:rsidP="00747667">
                  <w:pPr>
                    <w:spacing w:after="0" w:line="240" w:lineRule="auto"/>
                    <w:jc w:val="both"/>
                    <w:rPr>
                      <w:rFonts w:ascii="Calibri" w:eastAsia="Calibri" w:hAnsi="Calibri" w:cs="Calibri"/>
                      <w:lang w:eastAsia="fr-FR"/>
                    </w:rPr>
                  </w:pPr>
                  <w:r>
                    <w:t>Par ailleurs, c</w:t>
                  </w:r>
                  <w:r w:rsidR="2486FE2E">
                    <w:t>ette proposition repose</w:t>
                  </w:r>
                  <w:r w:rsidR="45BB81EC">
                    <w:t xml:space="preserve"> </w:t>
                  </w:r>
                  <w:r w:rsidR="2486FE2E">
                    <w:t>sur les orientations du l’offre stratégique du bureau (</w:t>
                  </w:r>
                  <w:r w:rsidR="2486FE2E" w:rsidRPr="00D51114">
                    <w:rPr>
                      <w:i/>
                      <w:iCs/>
                    </w:rPr>
                    <w:t xml:space="preserve">Strategic </w:t>
                  </w:r>
                  <w:proofErr w:type="spellStart"/>
                  <w:r w:rsidR="2486FE2E" w:rsidRPr="00D51114">
                    <w:rPr>
                      <w:i/>
                      <w:iCs/>
                    </w:rPr>
                    <w:t>Offer</w:t>
                  </w:r>
                  <w:proofErr w:type="spellEnd"/>
                  <w:r w:rsidR="2486FE2E" w:rsidRPr="00D51114">
                    <w:rPr>
                      <w:i/>
                      <w:iCs/>
                    </w:rPr>
                    <w:t xml:space="preserve"> for Africa 2022-2025) </w:t>
                  </w:r>
                  <w:r w:rsidR="2486FE2E">
                    <w:t xml:space="preserve">qui est elle-même alignée sur le plan stratégique du PNUD. Elle aura un impact direct sur la transformation structurelle de l’économie du pays pour la rendre plus résiliente et source de croissance pour tous mais aussi sur son engagement vers une transition écologique accélérée. Par ailleurs, elle place les jeunes et les femmes, groupes les plus affectés par les crises actuelles, au centre des actions. </w:t>
                  </w:r>
                  <w:r w:rsidR="00742D9E">
                    <w:t>C</w:t>
                  </w:r>
                  <w:r w:rsidR="2486FE2E">
                    <w:t>ette</w:t>
                  </w:r>
                  <w:r w:rsidR="2486FE2E" w:rsidRPr="00D51114">
                    <w:rPr>
                      <w:rFonts w:ascii="Calibri" w:eastAsia="Calibri" w:hAnsi="Calibri" w:cs="Calibri"/>
                      <w:color w:val="2B579A"/>
                      <w:lang w:val="fr"/>
                    </w:rPr>
                    <w:t xml:space="preserve"> </w:t>
                  </w:r>
                  <w:r w:rsidR="2486FE2E" w:rsidRPr="00D51114">
                    <w:rPr>
                      <w:rFonts w:ascii="Calibri" w:eastAsia="Calibri" w:hAnsi="Calibri" w:cs="Calibri"/>
                      <w:color w:val="000000" w:themeColor="text1"/>
                      <w:lang w:val="fr"/>
                    </w:rPr>
                    <w:t>proposition construit aussi sur les directions de changements voulus pour l’Afrique qui vise à élargir et à approfondir l’intégration régional</w:t>
                  </w:r>
                  <w:r w:rsidR="00742D9E" w:rsidRPr="00D51114">
                    <w:rPr>
                      <w:rFonts w:ascii="Calibri" w:eastAsia="Calibri" w:hAnsi="Calibri" w:cs="Calibri"/>
                      <w:color w:val="000000" w:themeColor="text1"/>
                      <w:lang w:val="fr"/>
                    </w:rPr>
                    <w:t>e</w:t>
                  </w:r>
                  <w:r w:rsidR="2486FE2E" w:rsidRPr="00D51114">
                    <w:rPr>
                      <w:rFonts w:ascii="Calibri" w:eastAsia="Calibri" w:hAnsi="Calibri" w:cs="Calibri"/>
                      <w:color w:val="000000" w:themeColor="text1"/>
                      <w:lang w:val="fr"/>
                    </w:rPr>
                    <w:t xml:space="preserve"> et tirer avantage du dividende démographique pour impulser</w:t>
                  </w:r>
                  <w:r w:rsidR="5D177D17" w:rsidRPr="00D51114">
                    <w:rPr>
                      <w:rFonts w:ascii="Calibri" w:eastAsia="Calibri" w:hAnsi="Calibri" w:cs="Calibri"/>
                      <w:color w:val="000000" w:themeColor="text1"/>
                      <w:lang w:val="fr"/>
                    </w:rPr>
                    <w:t xml:space="preserve"> </w:t>
                  </w:r>
                  <w:r w:rsidR="2486FE2E" w:rsidRPr="00D51114">
                    <w:rPr>
                      <w:rFonts w:ascii="Calibri" w:eastAsia="Calibri" w:hAnsi="Calibri" w:cs="Calibri"/>
                      <w:color w:val="000000" w:themeColor="text1"/>
                      <w:lang w:val="fr"/>
                    </w:rPr>
                    <w:t xml:space="preserve">une croissance économique durable. </w:t>
                  </w:r>
                  <w:r w:rsidR="5E6ABCA1" w:rsidRPr="00D51114">
                    <w:rPr>
                      <w:rFonts w:ascii="Calibri" w:eastAsia="Calibri" w:hAnsi="Calibri" w:cs="Calibri"/>
                      <w:color w:val="000000" w:themeColor="text1"/>
                      <w:lang w:val="fr"/>
                    </w:rPr>
                    <w:t>L</w:t>
                  </w:r>
                  <w:r w:rsidR="2486FE2E" w:rsidRPr="00D51114">
                    <w:rPr>
                      <w:rFonts w:ascii="Calibri" w:eastAsia="Calibri" w:hAnsi="Calibri" w:cs="Calibri"/>
                      <w:color w:val="000000" w:themeColor="text1"/>
                      <w:lang w:val="fr"/>
                    </w:rPr>
                    <w:t xml:space="preserve">’utilisation de l’innovation et de </w:t>
                  </w:r>
                  <w:r w:rsidR="00742D9E" w:rsidRPr="00D51114">
                    <w:rPr>
                      <w:rFonts w:ascii="Calibri" w:eastAsia="Calibri" w:hAnsi="Calibri" w:cs="Calibri"/>
                      <w:color w:val="000000" w:themeColor="text1"/>
                      <w:lang w:val="fr"/>
                    </w:rPr>
                    <w:t>technologies</w:t>
                  </w:r>
                  <w:r w:rsidR="2486FE2E" w:rsidRPr="00D51114">
                    <w:rPr>
                      <w:rFonts w:ascii="Calibri" w:eastAsia="Calibri" w:hAnsi="Calibri" w:cs="Calibri"/>
                      <w:color w:val="000000" w:themeColor="text1"/>
                      <w:lang w:val="fr"/>
                    </w:rPr>
                    <w:t xml:space="preserve"> émergentes sera aussi moteur de cette transformation et de ce changement. </w:t>
                  </w:r>
                  <w:r w:rsidR="2486FE2E" w:rsidRPr="00D51114">
                    <w:rPr>
                      <w:rFonts w:ascii="Calibri" w:eastAsia="Calibri" w:hAnsi="Calibri" w:cs="Calibri"/>
                      <w:lang w:val="fr"/>
                    </w:rPr>
                    <w:t>En ciblant spécifiquement les différents publics, une communication stratégique sera déployée, articulant des campagnes fortes et régulières auprès des médias locaux sera conjuguée à une présence multilingue sur les réseaux sociaux (les Comores, francophones sont en effet dans une zone majoritairement anglophone sur le continent), mobilisant des acteurs influents du pays et de sa diaspora</w:t>
                  </w:r>
                  <w:r w:rsidR="00742D9E" w:rsidRPr="00D51114">
                    <w:rPr>
                      <w:rFonts w:ascii="Calibri" w:eastAsia="Calibri" w:hAnsi="Calibri" w:cs="Calibri"/>
                      <w:lang w:val="fr"/>
                    </w:rPr>
                    <w:t>, et des secteurs variés du public et du privé</w:t>
                  </w:r>
                  <w:r w:rsidR="2486FE2E" w:rsidRPr="00D51114">
                    <w:rPr>
                      <w:rFonts w:ascii="Calibri" w:eastAsia="Calibri" w:hAnsi="Calibri" w:cs="Calibri"/>
                      <w:lang w:val="fr"/>
                    </w:rPr>
                    <w:t xml:space="preserve">. Des partenariats médiatiques en dehors du pays et avec </w:t>
                  </w:r>
                  <w:r w:rsidR="00742D9E" w:rsidRPr="00D51114">
                    <w:rPr>
                      <w:rFonts w:ascii="Calibri" w:eastAsia="Calibri" w:hAnsi="Calibri" w:cs="Calibri"/>
                      <w:lang w:val="fr"/>
                    </w:rPr>
                    <w:t>l</w:t>
                  </w:r>
                  <w:r w:rsidR="2486FE2E" w:rsidRPr="00D51114">
                    <w:rPr>
                      <w:rFonts w:ascii="Calibri" w:eastAsia="Calibri" w:hAnsi="Calibri" w:cs="Calibri"/>
                      <w:lang w:val="fr"/>
                    </w:rPr>
                    <w:t>’appui du réseau du PNUD permettra de faire connaître l’initiative en dehors du pays, particulièrement vers les pays prioritaires.</w:t>
                  </w:r>
                  <w:r w:rsidR="00A50BC7" w:rsidRPr="00D51114">
                    <w:rPr>
                      <w:rFonts w:ascii="Calibri" w:eastAsia="Calibri" w:hAnsi="Calibri" w:cs="Calibri"/>
                      <w:lang w:val="fr"/>
                    </w:rPr>
                    <w:t xml:space="preserve"> De plus, dans le cadre de cette proposition, le PNUD travaillera en étroite coopération avec l’Agence Comorienne pour la Coopération Internationale (ACCI)</w:t>
                  </w:r>
                  <w:r w:rsidR="00C30D0B" w:rsidRPr="00D51114">
                    <w:rPr>
                      <w:rFonts w:ascii="Calibri" w:eastAsia="Calibri" w:hAnsi="Calibri" w:cs="Calibri"/>
                      <w:lang w:val="fr"/>
                    </w:rPr>
                    <w:t xml:space="preserve"> ainsi qu’avec l’UCCIA afin de renforcer des mécanismes de coopération Sud/Sud autour des aspects suivants : a) le</w:t>
                  </w:r>
                  <w:r w:rsidR="005E5744">
                    <w:rPr>
                      <w:rFonts w:ascii="Calibri" w:eastAsia="Calibri" w:hAnsi="Calibri" w:cs="Calibri"/>
                      <w:lang w:val="fr"/>
                    </w:rPr>
                    <w:t xml:space="preserve"> développement</w:t>
                  </w:r>
                  <w:r w:rsidR="00C30D0B" w:rsidRPr="00D51114">
                    <w:rPr>
                      <w:rFonts w:ascii="Calibri" w:eastAsia="Calibri" w:hAnsi="Calibri" w:cs="Calibri"/>
                      <w:lang w:eastAsia="fr-FR"/>
                    </w:rPr>
                    <w:t xml:space="preserve"> de</w:t>
                  </w:r>
                  <w:r w:rsidR="005E5744">
                    <w:rPr>
                      <w:rFonts w:ascii="Calibri" w:eastAsia="Calibri" w:hAnsi="Calibri" w:cs="Calibri"/>
                      <w:lang w:eastAsia="fr-FR"/>
                    </w:rPr>
                    <w:t>s</w:t>
                  </w:r>
                  <w:r w:rsidR="00C30D0B" w:rsidRPr="00D51114">
                    <w:rPr>
                      <w:rFonts w:ascii="Calibri" w:eastAsia="Calibri" w:hAnsi="Calibri" w:cs="Calibri"/>
                      <w:lang w:eastAsia="fr-FR"/>
                    </w:rPr>
                    <w:t xml:space="preserve"> capacités pour l’entreprenariat/les PMEs</w:t>
                  </w:r>
                  <w:r w:rsidR="00593E4C">
                    <w:rPr>
                      <w:rFonts w:ascii="Calibri" w:eastAsia="Calibri" w:hAnsi="Calibri" w:cs="Calibri"/>
                      <w:lang w:eastAsia="fr-FR"/>
                    </w:rPr>
                    <w:t xml:space="preserve"> afin d’améliorer leur compétitivité</w:t>
                  </w:r>
                  <w:r w:rsidR="00C30D0B" w:rsidRPr="00D51114">
                    <w:rPr>
                      <w:rFonts w:ascii="Calibri" w:eastAsia="Calibri" w:hAnsi="Calibri" w:cs="Calibri"/>
                      <w:lang w:eastAsia="fr-FR"/>
                    </w:rPr>
                    <w:t>, b)</w:t>
                  </w:r>
                  <w:r w:rsidR="00C30D0B" w:rsidRPr="00747667">
                    <w:rPr>
                      <w:rFonts w:ascii="Calibri" w:eastAsia="Calibri" w:hAnsi="Calibri" w:cs="Calibri"/>
                      <w:lang w:eastAsia="fr-FR"/>
                    </w:rPr>
                    <w:t xml:space="preserve"> le partage d’expérience </w:t>
                  </w:r>
                  <w:proofErr w:type="spellStart"/>
                  <w:r w:rsidR="00C30D0B" w:rsidRPr="000B088D">
                    <w:rPr>
                      <w:rFonts w:ascii="Calibri" w:eastAsia="Calibri" w:hAnsi="Calibri" w:cs="Calibri"/>
                      <w:i/>
                      <w:iCs/>
                      <w:lang w:eastAsia="fr-FR"/>
                    </w:rPr>
                    <w:t>upstream</w:t>
                  </w:r>
                  <w:proofErr w:type="spellEnd"/>
                  <w:r w:rsidR="00C30D0B" w:rsidRPr="00747667">
                    <w:rPr>
                      <w:rFonts w:ascii="Calibri" w:eastAsia="Calibri" w:hAnsi="Calibri" w:cs="Calibri"/>
                      <w:lang w:eastAsia="fr-FR"/>
                    </w:rPr>
                    <w:t xml:space="preserve"> des pays</w:t>
                  </w:r>
                  <w:r w:rsidR="00C30D0B" w:rsidRPr="00D51114">
                    <w:rPr>
                      <w:rFonts w:ascii="Calibri" w:eastAsia="Calibri" w:hAnsi="Calibri" w:cs="Calibri"/>
                      <w:lang w:eastAsia="fr-FR"/>
                    </w:rPr>
                    <w:t>, et notamment des P</w:t>
                  </w:r>
                  <w:r w:rsidR="00593E4C">
                    <w:rPr>
                      <w:rFonts w:ascii="Calibri" w:eastAsia="Calibri" w:hAnsi="Calibri" w:cs="Calibri"/>
                      <w:lang w:eastAsia="fr-FR"/>
                    </w:rPr>
                    <w:t>EI</w:t>
                  </w:r>
                  <w:r w:rsidR="00C30D0B" w:rsidRPr="00D51114">
                    <w:rPr>
                      <w:rFonts w:ascii="Calibri" w:eastAsia="Calibri" w:hAnsi="Calibri" w:cs="Calibri"/>
                      <w:lang w:eastAsia="fr-FR"/>
                    </w:rPr>
                    <w:t>D africains</w:t>
                  </w:r>
                  <w:r w:rsidR="00C30D0B" w:rsidRPr="00747667">
                    <w:rPr>
                      <w:rFonts w:ascii="Calibri" w:eastAsia="Calibri" w:hAnsi="Calibri" w:cs="Calibri"/>
                      <w:lang w:eastAsia="fr-FR"/>
                    </w:rPr>
                    <w:t xml:space="preserve"> pour le processus de ratification/préparation au </w:t>
                  </w:r>
                  <w:proofErr w:type="spellStart"/>
                  <w:r w:rsidR="00C30D0B" w:rsidRPr="00747667">
                    <w:rPr>
                      <w:rFonts w:ascii="Calibri" w:eastAsia="Calibri" w:hAnsi="Calibri" w:cs="Calibri"/>
                      <w:lang w:eastAsia="fr-FR"/>
                    </w:rPr>
                    <w:t>Zlecaf</w:t>
                  </w:r>
                  <w:proofErr w:type="spellEnd"/>
                  <w:r w:rsidR="00C30D0B" w:rsidRPr="00747667">
                    <w:rPr>
                      <w:rFonts w:ascii="Calibri" w:eastAsia="Calibri" w:hAnsi="Calibri" w:cs="Calibri"/>
                      <w:lang w:eastAsia="fr-FR"/>
                    </w:rPr>
                    <w:t xml:space="preserve"> et </w:t>
                  </w:r>
                  <w:r w:rsidR="00C30D0B" w:rsidRPr="00D51114">
                    <w:rPr>
                      <w:rFonts w:ascii="Calibri" w:eastAsia="Calibri" w:hAnsi="Calibri" w:cs="Calibri"/>
                      <w:lang w:eastAsia="fr-FR"/>
                    </w:rPr>
                    <w:t xml:space="preserve">la création d’un </w:t>
                  </w:r>
                  <w:r w:rsidR="00C30D0B" w:rsidRPr="00747667">
                    <w:rPr>
                      <w:rFonts w:ascii="Calibri" w:eastAsia="Calibri" w:hAnsi="Calibri" w:cs="Calibri"/>
                      <w:lang w:eastAsia="fr-FR"/>
                    </w:rPr>
                    <w:t>environnement favorable</w:t>
                  </w:r>
                  <w:r w:rsidR="00C30D0B" w:rsidRPr="00D51114">
                    <w:rPr>
                      <w:rFonts w:ascii="Calibri" w:eastAsia="Calibri" w:hAnsi="Calibri" w:cs="Calibri"/>
                      <w:lang w:eastAsia="fr-FR"/>
                    </w:rPr>
                    <w:t xml:space="preserve"> pour l’ensemble des secteurs d’activités du pays.</w:t>
                  </w:r>
                </w:p>
                <w:p w14:paraId="0E8282AA" w14:textId="77777777" w:rsidR="00270781" w:rsidRPr="00747667" w:rsidRDefault="00270781" w:rsidP="00747667">
                  <w:pPr>
                    <w:spacing w:after="0" w:line="240" w:lineRule="auto"/>
                    <w:jc w:val="both"/>
                    <w:rPr>
                      <w:rFonts w:ascii="Calibri" w:eastAsia="Calibri" w:hAnsi="Calibri" w:cs="Calibri"/>
                      <w:lang w:eastAsia="fr-FR"/>
                    </w:rPr>
                  </w:pPr>
                </w:p>
                <w:p w14:paraId="7AF8B426" w14:textId="6F48C4A9" w:rsidR="0086119E" w:rsidRPr="005D7508" w:rsidRDefault="00AF6789" w:rsidP="5550D510">
                  <w:pPr>
                    <w:jc w:val="both"/>
                    <w:rPr>
                      <w:i/>
                      <w:iCs/>
                    </w:rPr>
                  </w:pPr>
                  <w:r>
                    <w:t>Enfin</w:t>
                  </w:r>
                  <w:r w:rsidR="5C58F7EE">
                    <w:t xml:space="preserve">, </w:t>
                  </w:r>
                  <w:r w:rsidR="2CB78348">
                    <w:t xml:space="preserve"> cette proposition soutient les priorités du gouvernement comorien et son impact devrait permettre de créer des résultats tra</w:t>
                  </w:r>
                  <w:r w:rsidR="6B67F09C">
                    <w:t>nsformationnels essentiels pour l’atteinte des o</w:t>
                  </w:r>
                  <w:r w:rsidR="4ABA6335">
                    <w:t xml:space="preserve">bjectifs prévus à l’horizon 2030. </w:t>
                  </w:r>
                  <w:r w:rsidR="003B0D46">
                    <w:t xml:space="preserve">Le PCE, qui inclut 5 socles de développement, </w:t>
                  </w:r>
                  <w:r w:rsidR="0078296F">
                    <w:t>5</w:t>
                  </w:r>
                  <w:r w:rsidR="003B0D46">
                    <w:t xml:space="preserve"> catalyseurs de l’émergence et 3 conditions de mise en œuvre des objectifs de développement durable</w:t>
                  </w:r>
                  <w:r w:rsidR="00593E4C">
                    <w:t>,</w:t>
                  </w:r>
                  <w:r w:rsidR="003B0D46">
                    <w:t xml:space="preserve"> souligne l’importance de diversifier les niches économiques du pays en investissant notamment dans l’économie bleue, le secteur financier, </w:t>
                  </w:r>
                  <w:r w:rsidR="00AD5184">
                    <w:t>l’agriculture et l’industrie. L’amélioration du climat des affaires</w:t>
                  </w:r>
                  <w:r w:rsidR="00593E4C">
                    <w:t>, le déploiement de nouvelles infrastructures</w:t>
                  </w:r>
                  <w:r w:rsidR="00AD5184">
                    <w:t xml:space="preserve"> et l</w:t>
                  </w:r>
                  <w:r w:rsidR="0078296F">
                    <w:t xml:space="preserve">e renforcement du commerce extérieur font partie des réformes structurelles souhaitées par le gouvernement pour créer un environnement compétitif. </w:t>
                  </w:r>
                  <w:r w:rsidR="00593E4C">
                    <w:t>Par ailleurs</w:t>
                  </w:r>
                  <w:r w:rsidR="0078296F">
                    <w:t>, le digital est le cinquième catalyseur de l’émergence sur lequel l’Union des Comores investit</w:t>
                  </w:r>
                  <w:r w:rsidR="00742D9E">
                    <w:t xml:space="preserve"> avec le PNUD à ses côtés.</w:t>
                  </w:r>
                  <w:r w:rsidR="00AD5184">
                    <w:t xml:space="preserve"> </w:t>
                  </w:r>
                  <w:r w:rsidR="00593E4C">
                    <w:t>Enfin, les jeunes et les femmes sont au cœur des préoccupations du PCE qui souligne l’importance d’investir dans la jeunesse et son potentiel.</w:t>
                  </w:r>
                </w:p>
              </w:tc>
              <w:tc>
                <w:tcPr>
                  <w:tcW w:w="0" w:type="auto"/>
                  <w:tcBorders>
                    <w:top w:val="nil"/>
                    <w:left w:val="nil"/>
                    <w:bottom w:val="nil"/>
                    <w:right w:val="nil"/>
                  </w:tcBorders>
                  <w:tcMar>
                    <w:top w:w="60" w:type="dxa"/>
                    <w:left w:w="75" w:type="dxa"/>
                    <w:bottom w:w="60" w:type="dxa"/>
                    <w:right w:w="330" w:type="dxa"/>
                  </w:tcMar>
                  <w:hideMark/>
                </w:tcPr>
                <w:p w14:paraId="32241C87" w14:textId="77777777" w:rsidR="00E5571E" w:rsidRPr="00E5571E" w:rsidRDefault="00E5571E" w:rsidP="00E5571E">
                  <w:r w:rsidRPr="00E5571E">
                    <w:t>​</w:t>
                  </w:r>
                </w:p>
              </w:tc>
            </w:tr>
            <w:tr w:rsidR="00827824" w:rsidRPr="00FB4D25" w14:paraId="684C3874" w14:textId="77777777" w:rsidTr="69A8F6F5">
              <w:trPr>
                <w:trHeight w:val="450"/>
              </w:trPr>
              <w:tc>
                <w:tcPr>
                  <w:tcW w:w="0" w:type="auto"/>
                  <w:tcBorders>
                    <w:top w:val="nil"/>
                    <w:left w:val="nil"/>
                    <w:bottom w:val="nil"/>
                    <w:right w:val="nil"/>
                  </w:tcBorders>
                  <w:tcMar>
                    <w:top w:w="60" w:type="dxa"/>
                    <w:left w:w="330" w:type="dxa"/>
                    <w:bottom w:w="60" w:type="dxa"/>
                    <w:right w:w="75" w:type="dxa"/>
                  </w:tcMar>
                  <w:hideMark/>
                </w:tcPr>
                <w:p w14:paraId="47DB0AAC" w14:textId="0EFEEE43" w:rsidR="00E5571E" w:rsidRPr="00E5571E" w:rsidRDefault="00E5571E" w:rsidP="00E5571E">
                  <w:pPr>
                    <w:rPr>
                      <w:i/>
                      <w:iCs/>
                      <w:lang w:val="en-US"/>
                    </w:rPr>
                  </w:pPr>
                  <w:r w:rsidRPr="00E5571E">
                    <w:rPr>
                      <w:b/>
                      <w:bCs/>
                      <w:i/>
                      <w:iCs/>
                      <w:lang w:val="en-US"/>
                    </w:rPr>
                    <w:lastRenderedPageBreak/>
                    <w:t>Total amount requested:</w:t>
                  </w:r>
                  <w:r w:rsidR="001240C4">
                    <w:rPr>
                      <w:b/>
                      <w:bCs/>
                      <w:i/>
                      <w:iCs/>
                      <w:lang w:val="en-US"/>
                    </w:rPr>
                    <w:t xml:space="preserve"> 1 500 000 USD</w:t>
                  </w:r>
                </w:p>
                <w:p w14:paraId="39354F10" w14:textId="1F234DE0" w:rsidR="00E5571E" w:rsidRPr="00E5571E" w:rsidRDefault="00E5571E" w:rsidP="00E5571E">
                  <w:pPr>
                    <w:rPr>
                      <w:i/>
                      <w:iCs/>
                      <w:lang w:val="en-US"/>
                    </w:rPr>
                  </w:pPr>
                  <w:r w:rsidRPr="00E5571E">
                    <w:rPr>
                      <w:i/>
                      <w:iCs/>
                      <w:lang w:val="en-US"/>
                    </w:rPr>
                    <w:t>(cannot be less than $350k per CO)</w:t>
                  </w:r>
                  <w:r w:rsidR="00593E4C">
                    <w:rPr>
                      <w:i/>
                      <w:iCs/>
                      <w:lang w:val="en-US"/>
                    </w:rPr>
                    <w:t xml:space="preserve"> </w:t>
                  </w:r>
                </w:p>
              </w:tc>
              <w:tc>
                <w:tcPr>
                  <w:tcW w:w="0" w:type="auto"/>
                  <w:tcBorders>
                    <w:top w:val="nil"/>
                    <w:left w:val="nil"/>
                    <w:bottom w:val="nil"/>
                    <w:right w:val="nil"/>
                  </w:tcBorders>
                  <w:tcMar>
                    <w:top w:w="60" w:type="dxa"/>
                    <w:left w:w="75" w:type="dxa"/>
                    <w:bottom w:w="60" w:type="dxa"/>
                    <w:right w:w="330" w:type="dxa"/>
                  </w:tcMar>
                  <w:hideMark/>
                </w:tcPr>
                <w:p w14:paraId="4D26E5D7" w14:textId="1414DB9F" w:rsidR="00E5571E" w:rsidRPr="003B0D46" w:rsidRDefault="00E5571E" w:rsidP="00E5571E">
                  <w:pPr>
                    <w:rPr>
                      <w:lang w:val="en-US"/>
                    </w:rPr>
                  </w:pPr>
                </w:p>
              </w:tc>
            </w:tr>
          </w:tbl>
          <w:p w14:paraId="4F1EA1B1" w14:textId="77777777" w:rsidR="00E5571E" w:rsidRPr="003B0D46" w:rsidRDefault="00E5571E" w:rsidP="00E5571E">
            <w:pPr>
              <w:rPr>
                <w:lang w:val="en-US"/>
              </w:rPr>
            </w:pPr>
          </w:p>
        </w:tc>
      </w:tr>
    </w:tbl>
    <w:p w14:paraId="2BB1BDF1" w14:textId="77777777" w:rsidR="00E5571E" w:rsidRPr="003B0D46" w:rsidRDefault="00E5571E" w:rsidP="00E5571E">
      <w:pPr>
        <w:rPr>
          <w:lang w:val="en-US"/>
        </w:rPr>
      </w:pPr>
      <w:r w:rsidRPr="003B0D46">
        <w:rPr>
          <w:lang w:val="en-US"/>
        </w:rPr>
        <w:lastRenderedPageBreak/>
        <w:t> </w:t>
      </w:r>
    </w:p>
    <w:p w14:paraId="5CD08C9B" w14:textId="77777777" w:rsidR="00E5571E" w:rsidRPr="003B0D46" w:rsidRDefault="00E5571E" w:rsidP="00E5571E">
      <w:pPr>
        <w:rPr>
          <w:lang w:val="en-US"/>
        </w:rPr>
      </w:pPr>
      <w:r w:rsidRPr="003B0D46">
        <w:rPr>
          <w:lang w:val="en-US"/>
        </w:rPr>
        <w:t> </w:t>
      </w:r>
    </w:p>
    <w:tbl>
      <w:tblPr>
        <w:tblW w:w="15620" w:type="dxa"/>
        <w:jc w:val="center"/>
        <w:tblCellMar>
          <w:top w:w="15" w:type="dxa"/>
          <w:left w:w="15" w:type="dxa"/>
          <w:bottom w:w="15" w:type="dxa"/>
          <w:right w:w="15" w:type="dxa"/>
        </w:tblCellMar>
        <w:tblLook w:val="04A0" w:firstRow="1" w:lastRow="0" w:firstColumn="1" w:lastColumn="0" w:noHBand="0" w:noVBand="1"/>
      </w:tblPr>
      <w:tblGrid>
        <w:gridCol w:w="15620"/>
      </w:tblGrid>
      <w:tr w:rsidR="00E5571E" w:rsidRPr="00E5571E" w14:paraId="220B1C42" w14:textId="77777777" w:rsidTr="69A8F6F5">
        <w:trPr>
          <w:trHeight w:val="405"/>
          <w:jc w:val="center"/>
        </w:trPr>
        <w:tc>
          <w:tcPr>
            <w:tcW w:w="0" w:type="auto"/>
            <w:tcBorders>
              <w:top w:val="nil"/>
              <w:left w:val="nil"/>
              <w:bottom w:val="nil"/>
              <w:right w:val="nil"/>
            </w:tcBorders>
            <w:shd w:val="clear" w:color="auto" w:fill="E1EAE5"/>
            <w:tcMar>
              <w:top w:w="30" w:type="dxa"/>
              <w:left w:w="330" w:type="dxa"/>
              <w:bottom w:w="30" w:type="dxa"/>
              <w:right w:w="330" w:type="dxa"/>
            </w:tcMar>
            <w:vAlign w:val="center"/>
            <w:hideMark/>
          </w:tcPr>
          <w:p w14:paraId="47AF1024" w14:textId="77777777" w:rsidR="00E5571E" w:rsidRPr="00E5571E" w:rsidRDefault="00E5571E" w:rsidP="00E5571E">
            <w:pPr>
              <w:rPr>
                <w:b/>
                <w:bCs/>
              </w:rPr>
            </w:pPr>
            <w:proofErr w:type="spellStart"/>
            <w:r w:rsidRPr="00E5571E">
              <w:rPr>
                <w:b/>
                <w:bCs/>
              </w:rPr>
              <w:t>Expected</w:t>
            </w:r>
            <w:proofErr w:type="spellEnd"/>
            <w:r w:rsidRPr="00E5571E">
              <w:rPr>
                <w:b/>
                <w:bCs/>
              </w:rPr>
              <w:t xml:space="preserve"> </w:t>
            </w:r>
            <w:proofErr w:type="spellStart"/>
            <w:r w:rsidRPr="00E5571E">
              <w:rPr>
                <w:b/>
                <w:bCs/>
              </w:rPr>
              <w:t>Results</w:t>
            </w:r>
            <w:proofErr w:type="spellEnd"/>
          </w:p>
        </w:tc>
      </w:tr>
      <w:tr w:rsidR="00E5571E" w:rsidRPr="00FB4D25" w14:paraId="3ECCE248" w14:textId="77777777" w:rsidTr="69A8F6F5">
        <w:trPr>
          <w:trHeight w:val="675"/>
          <w:jc w:val="center"/>
        </w:trPr>
        <w:tc>
          <w:tcPr>
            <w:tcW w:w="0" w:type="auto"/>
            <w:tcBorders>
              <w:top w:val="single" w:sz="8" w:space="0" w:color="A6C2B2"/>
              <w:left w:val="single" w:sz="12" w:space="0" w:color="F2F2F2" w:themeColor="background1" w:themeShade="F2"/>
              <w:bottom w:val="single" w:sz="12" w:space="0" w:color="F2F2F2" w:themeColor="background1" w:themeShade="F2"/>
              <w:right w:val="single" w:sz="12" w:space="0" w:color="F2F2F2" w:themeColor="background1" w:themeShade="F2"/>
            </w:tcBorders>
            <w:tcMar>
              <w:top w:w="60" w:type="dxa"/>
              <w:left w:w="330" w:type="dxa"/>
              <w:bottom w:w="60" w:type="dxa"/>
              <w:right w:w="330" w:type="dxa"/>
            </w:tcMar>
            <w:vAlign w:val="center"/>
            <w:hideMark/>
          </w:tcPr>
          <w:p w14:paraId="1F47C806" w14:textId="77777777" w:rsidR="00E5571E" w:rsidRPr="00E5571E" w:rsidRDefault="00E5571E" w:rsidP="00E5571E">
            <w:pPr>
              <w:rPr>
                <w:lang w:val="en-US"/>
              </w:rPr>
            </w:pPr>
            <w:r w:rsidRPr="00E5571E">
              <w:rPr>
                <w:i/>
                <w:iCs/>
                <w:lang w:val="en-US"/>
              </w:rPr>
              <w:t>The submitting CO should list the expected benefits and indicators for success.</w:t>
            </w:r>
          </w:p>
          <w:p w14:paraId="1FD162ED" w14:textId="77777777" w:rsidR="00E5571E" w:rsidRPr="00E5571E" w:rsidRDefault="00E5571E" w:rsidP="00E5571E">
            <w:pPr>
              <w:rPr>
                <w:lang w:val="en-US"/>
              </w:rPr>
            </w:pPr>
            <w:r w:rsidRPr="00E5571E">
              <w:rPr>
                <w:lang w:val="en-US"/>
              </w:rPr>
              <w:t> </w:t>
            </w:r>
          </w:p>
        </w:tc>
      </w:tr>
      <w:tr w:rsidR="00E5571E" w:rsidRPr="00E5571E" w14:paraId="1A542672" w14:textId="77777777" w:rsidTr="69A8F6F5">
        <w:trPr>
          <w:trHeight w:val="675"/>
          <w:jc w:val="center"/>
        </w:trPr>
        <w:tc>
          <w:tcPr>
            <w:tcW w:w="0" w:type="auto"/>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tcMar>
              <w:top w:w="60" w:type="dxa"/>
              <w:left w:w="330" w:type="dxa"/>
              <w:bottom w:w="60" w:type="dxa"/>
              <w:right w:w="330" w:type="dxa"/>
            </w:tcMar>
            <w:vAlign w:val="center"/>
            <w:hideMark/>
          </w:tcPr>
          <w:p w14:paraId="5511C93C" w14:textId="77777777" w:rsidR="00E5571E" w:rsidRPr="00E5571E" w:rsidRDefault="00E5571E" w:rsidP="00E5571E">
            <w:r w:rsidRPr="00E5571E">
              <w:rPr>
                <w:b/>
                <w:bCs/>
              </w:rPr>
              <w:t xml:space="preserve">Resource </w:t>
            </w:r>
            <w:proofErr w:type="spellStart"/>
            <w:r w:rsidRPr="00E5571E">
              <w:rPr>
                <w:b/>
                <w:bCs/>
              </w:rPr>
              <w:t>Mobilization</w:t>
            </w:r>
            <w:proofErr w:type="spellEnd"/>
          </w:p>
          <w:p w14:paraId="2661DDE9" w14:textId="77777777" w:rsidR="00E5571E" w:rsidRPr="00E5571E" w:rsidRDefault="00E5571E" w:rsidP="005F4004">
            <w:pPr>
              <w:ind w:left="720"/>
            </w:pPr>
          </w:p>
          <w:tbl>
            <w:tblPr>
              <w:tblW w:w="14220" w:type="dxa"/>
              <w:tblInd w:w="720" w:type="dxa"/>
              <w:tblCellMar>
                <w:top w:w="15" w:type="dxa"/>
                <w:left w:w="15" w:type="dxa"/>
                <w:bottom w:w="15" w:type="dxa"/>
                <w:right w:w="15" w:type="dxa"/>
              </w:tblCellMar>
              <w:tblLook w:val="04A0" w:firstRow="1" w:lastRow="0" w:firstColumn="1" w:lastColumn="0" w:noHBand="0" w:noVBand="1"/>
            </w:tblPr>
            <w:tblGrid>
              <w:gridCol w:w="14220"/>
            </w:tblGrid>
            <w:tr w:rsidR="00E5571E" w:rsidRPr="00E5571E" w14:paraId="40E0363B" w14:textId="77777777" w:rsidTr="69A8F6F5">
              <w:tc>
                <w:tcPr>
                  <w:tcW w:w="0" w:type="auto"/>
                  <w:tcBorders>
                    <w:top w:val="nil"/>
                    <w:left w:val="nil"/>
                    <w:bottom w:val="nil"/>
                    <w:right w:val="nil"/>
                  </w:tcBorders>
                  <w:vAlign w:val="center"/>
                  <w:hideMark/>
                </w:tcPr>
                <w:p w14:paraId="138B08B1" w14:textId="37EB9B9C" w:rsidR="00E5571E" w:rsidRDefault="00E5571E" w:rsidP="00E5571E">
                  <w:pPr>
                    <w:rPr>
                      <w:b/>
                      <w:bCs/>
                    </w:rPr>
                  </w:pPr>
                  <w:bookmarkStart w:id="0" w:name="_Hlk95289131"/>
                  <w:proofErr w:type="spellStart"/>
                  <w:r w:rsidRPr="5550D510">
                    <w:rPr>
                      <w:b/>
                      <w:bCs/>
                    </w:rPr>
                    <w:t>Result</w:t>
                  </w:r>
                  <w:proofErr w:type="spellEnd"/>
                  <w:r w:rsidRPr="5550D510">
                    <w:rPr>
                      <w:b/>
                      <w:bCs/>
                    </w:rPr>
                    <w:t xml:space="preserve"> 1</w:t>
                  </w:r>
                  <w:r w:rsidR="3247C703" w:rsidRPr="5550D510">
                    <w:rPr>
                      <w:b/>
                      <w:bCs/>
                    </w:rPr>
                    <w:t xml:space="preserve"> la création d’un cadre habilitant pour </w:t>
                  </w:r>
                  <w:r w:rsidR="009A0DED">
                    <w:rPr>
                      <w:b/>
                      <w:bCs/>
                    </w:rPr>
                    <w:t xml:space="preserve">l’intégration régionale et </w:t>
                  </w:r>
                  <w:r w:rsidR="3247C703" w:rsidRPr="5550D510">
                    <w:rPr>
                      <w:b/>
                      <w:bCs/>
                    </w:rPr>
                    <w:t xml:space="preserve">la promotion de l’entreprenariat jeune et féminin au sein de la zone de </w:t>
                  </w:r>
                  <w:r w:rsidR="5D65DAE2" w:rsidRPr="5550D510">
                    <w:rPr>
                      <w:b/>
                      <w:bCs/>
                    </w:rPr>
                    <w:t>libre-échange</w:t>
                  </w:r>
                  <w:r w:rsidR="3247C703" w:rsidRPr="5550D510">
                    <w:rPr>
                      <w:b/>
                      <w:bCs/>
                    </w:rPr>
                    <w:t xml:space="preserve"> africaine permet la mobilisation de ressources </w:t>
                  </w:r>
                  <w:r w:rsidR="0F12A5D8" w:rsidRPr="5550D510">
                    <w:rPr>
                      <w:b/>
                      <w:bCs/>
                    </w:rPr>
                    <w:t xml:space="preserve">publiques et </w:t>
                  </w:r>
                  <w:r w:rsidR="009A0DED">
                    <w:rPr>
                      <w:b/>
                      <w:bCs/>
                    </w:rPr>
                    <w:t>privées.</w:t>
                  </w:r>
                </w:p>
                <w:p w14:paraId="3BB35318" w14:textId="56520772" w:rsidR="009A0DED" w:rsidRDefault="009A0DED" w:rsidP="009A0DED">
                  <w:pPr>
                    <w:pStyle w:val="Paragraphedeliste"/>
                    <w:numPr>
                      <w:ilvl w:val="0"/>
                      <w:numId w:val="5"/>
                    </w:numPr>
                  </w:pPr>
                  <w:r w:rsidRPr="00BC6167">
                    <w:t>Dans son rôle intégrateur, le PNUD a facilité la collaboration d’agences</w:t>
                  </w:r>
                  <w:r w:rsidR="00C1729C" w:rsidRPr="00BC6167">
                    <w:t>, principalement</w:t>
                  </w:r>
                  <w:r w:rsidRPr="00BC6167">
                    <w:t xml:space="preserve"> non résidentes</w:t>
                  </w:r>
                  <w:r w:rsidR="00C1729C" w:rsidRPr="00BC6167">
                    <w:t>,</w:t>
                  </w:r>
                  <w:r w:rsidRPr="00BC6167">
                    <w:t xml:space="preserve"> au processus mis en place pour la ratification de la ZLECAF</w:t>
                  </w:r>
                  <w:r w:rsidR="00C1729C" w:rsidRPr="00BC6167">
                    <w:t xml:space="preserve">. Cette nouvelle dynamique offre des perspectives de collaboration intéressantes pour mobiliser </w:t>
                  </w:r>
                  <w:r w:rsidR="00C1729C">
                    <w:t>conjointement</w:t>
                  </w:r>
                  <w:r w:rsidR="00C1729C" w:rsidRPr="00BC6167">
                    <w:t xml:space="preserve"> des ressources liées à l’intégration régionale, le développement de l’économie et du commerce aux Comores  </w:t>
                  </w:r>
                  <w:r w:rsidR="00C1729C">
                    <w:t>et à l’entreprenariat jeune et féminin.</w:t>
                  </w:r>
                </w:p>
                <w:p w14:paraId="23F49049" w14:textId="70E124B1" w:rsidR="00C1729C" w:rsidRDefault="00C1729C" w:rsidP="009A0DED">
                  <w:pPr>
                    <w:pStyle w:val="Paragraphedeliste"/>
                    <w:numPr>
                      <w:ilvl w:val="0"/>
                      <w:numId w:val="5"/>
                    </w:numPr>
                  </w:pPr>
                  <w:r>
                    <w:t>L’adhésion permettra également aux Comores d’accéder à de nouvelles sources de financement dans les années à venir</w:t>
                  </w:r>
                </w:p>
                <w:p w14:paraId="08497B69" w14:textId="731E347D" w:rsidR="00C1729C" w:rsidRPr="00C1729C" w:rsidRDefault="00C1729C" w:rsidP="00BC6167">
                  <w:pPr>
                    <w:pStyle w:val="Paragraphedeliste"/>
                    <w:numPr>
                      <w:ilvl w:val="0"/>
                      <w:numId w:val="5"/>
                    </w:numPr>
                  </w:pPr>
                  <w:r>
                    <w:t xml:space="preserve">Enfin, la mise en place d’un environnement favorable au développement et à l’encadrement de PME aux Comores devrait d’une part attirer le secteur bancaire et, d’autre part, favoriser les investissements étrangers. </w:t>
                  </w:r>
                  <w:r w:rsidR="000B088D">
                    <w:t xml:space="preserve">La mise en place progressive de </w:t>
                  </w:r>
                  <w:r w:rsidR="000B088D" w:rsidRPr="00315E9F">
                    <w:rPr>
                      <w:b/>
                      <w:bCs/>
                    </w:rPr>
                    <w:t>nouvelles possibilités pour le e-commerce et le e-paiement</w:t>
                  </w:r>
                  <w:r w:rsidR="000B088D">
                    <w:t xml:space="preserve">  devrait aussi, à court et moyen terme</w:t>
                  </w:r>
                  <w:r w:rsidR="00E03305">
                    <w:t>s</w:t>
                  </w:r>
                  <w:r w:rsidR="000B088D">
                    <w:t>, attirer de nouveaux  investisseurs du fait de l’agilité financière  que ces outils procurent</w:t>
                  </w:r>
                </w:p>
                <w:p w14:paraId="3C95409B" w14:textId="60A6580B" w:rsidR="00E5571E" w:rsidRDefault="00E5571E" w:rsidP="00E03305">
                  <w:pPr>
                    <w:pStyle w:val="Paragraphedeliste"/>
                  </w:pPr>
                </w:p>
                <w:bookmarkEnd w:id="0"/>
                <w:p w14:paraId="6E1A5311" w14:textId="77777777" w:rsidR="001C5C79" w:rsidRDefault="001C5C79" w:rsidP="00BC6167">
                  <w:pPr>
                    <w:pStyle w:val="Paragraphedeliste"/>
                  </w:pPr>
                </w:p>
                <w:p w14:paraId="57D927FF" w14:textId="652E95DB" w:rsidR="00E5571E" w:rsidRPr="00E5571E" w:rsidRDefault="00E5571E" w:rsidP="5550D510"/>
              </w:tc>
            </w:tr>
          </w:tbl>
          <w:p w14:paraId="748D520B" w14:textId="77777777" w:rsidR="00E5571E" w:rsidRPr="00E5571E" w:rsidRDefault="00E5571E" w:rsidP="00E5571E">
            <w:pPr>
              <w:rPr>
                <w:vanish/>
              </w:rPr>
            </w:pPr>
          </w:p>
          <w:tbl>
            <w:tblPr>
              <w:tblW w:w="14025" w:type="dxa"/>
              <w:tblCellSpacing w:w="0" w:type="dxa"/>
              <w:tblCellMar>
                <w:left w:w="0" w:type="dxa"/>
                <w:right w:w="0" w:type="dxa"/>
              </w:tblCellMar>
              <w:tblLook w:val="04A0" w:firstRow="1" w:lastRow="0" w:firstColumn="1" w:lastColumn="0" w:noHBand="0" w:noVBand="1"/>
            </w:tblPr>
            <w:tblGrid>
              <w:gridCol w:w="2741"/>
              <w:gridCol w:w="11284"/>
            </w:tblGrid>
            <w:tr w:rsidR="00E5571E" w:rsidRPr="00E5571E" w14:paraId="1B9AEF6B" w14:textId="77777777" w:rsidTr="00E5571E">
              <w:trPr>
                <w:tblCellSpacing w:w="0" w:type="dxa"/>
              </w:trPr>
              <w:tc>
                <w:tcPr>
                  <w:tcW w:w="300" w:type="dxa"/>
                  <w:vAlign w:val="center"/>
                  <w:hideMark/>
                </w:tcPr>
                <w:p w14:paraId="6C915D50" w14:textId="5E22958F" w:rsidR="00E5571E" w:rsidRPr="00E5571E" w:rsidRDefault="00E5571E" w:rsidP="00E5571E">
                  <w:r w:rsidRPr="00E5571E">
                    <w:rPr>
                      <w:noProof/>
                      <w:color w:val="2B579A"/>
                      <w:shd w:val="clear" w:color="auto" w:fill="E6E6E6"/>
                    </w:rPr>
                    <w:drawing>
                      <wp:inline distT="0" distB="0" distL="0" distR="0" wp14:anchorId="5F751CA6" wp14:editId="5EA43F70">
                        <wp:extent cx="1740535" cy="23050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0535" cy="230505"/>
                                </a:xfrm>
                                <a:prstGeom prst="rect">
                                  <a:avLst/>
                                </a:prstGeom>
                                <a:noFill/>
                                <a:ln>
                                  <a:noFill/>
                                </a:ln>
                              </pic:spPr>
                            </pic:pic>
                          </a:graphicData>
                        </a:graphic>
                      </wp:inline>
                    </w:drawing>
                  </w:r>
                </w:p>
              </w:tc>
              <w:tc>
                <w:tcPr>
                  <w:tcW w:w="0" w:type="auto"/>
                  <w:vAlign w:val="center"/>
                  <w:hideMark/>
                </w:tcPr>
                <w:p w14:paraId="1FB5C6DE" w14:textId="77777777" w:rsidR="00E5571E" w:rsidRPr="00E5571E" w:rsidRDefault="009D1B09" w:rsidP="00E5571E">
                  <w:hyperlink r:id="rId17" w:history="1">
                    <w:proofErr w:type="spellStart"/>
                    <w:r w:rsidR="00E5571E" w:rsidRPr="00E5571E">
                      <w:rPr>
                        <w:rStyle w:val="Lienhypertexte"/>
                      </w:rPr>
                      <w:t>Add</w:t>
                    </w:r>
                    <w:proofErr w:type="spellEnd"/>
                    <w:r w:rsidR="00E5571E" w:rsidRPr="00E5571E">
                      <w:rPr>
                        <w:rStyle w:val="Lienhypertexte"/>
                      </w:rPr>
                      <w:t xml:space="preserve"> </w:t>
                    </w:r>
                    <w:proofErr w:type="spellStart"/>
                    <w:r w:rsidR="00E5571E" w:rsidRPr="00E5571E">
                      <w:rPr>
                        <w:rStyle w:val="Lienhypertexte"/>
                      </w:rPr>
                      <w:t>Result</w:t>
                    </w:r>
                    <w:proofErr w:type="spellEnd"/>
                  </w:hyperlink>
                </w:p>
              </w:tc>
            </w:tr>
          </w:tbl>
          <w:p w14:paraId="21DF9B43" w14:textId="77777777" w:rsidR="00E5571E" w:rsidRPr="00E5571E" w:rsidRDefault="00E5571E" w:rsidP="00E5571E"/>
        </w:tc>
      </w:tr>
      <w:tr w:rsidR="00E5571E" w:rsidRPr="00E5571E" w14:paraId="0FBA1A70" w14:textId="77777777" w:rsidTr="69A8F6F5">
        <w:trPr>
          <w:trHeight w:val="675"/>
          <w:jc w:val="center"/>
        </w:trPr>
        <w:tc>
          <w:tcPr>
            <w:tcW w:w="0" w:type="auto"/>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tcMar>
              <w:top w:w="60" w:type="dxa"/>
              <w:left w:w="330" w:type="dxa"/>
              <w:bottom w:w="60" w:type="dxa"/>
              <w:right w:w="330" w:type="dxa"/>
            </w:tcMar>
            <w:vAlign w:val="center"/>
            <w:hideMark/>
          </w:tcPr>
          <w:p w14:paraId="06496095" w14:textId="596A1234" w:rsidR="00E5571E" w:rsidRPr="00E5571E" w:rsidRDefault="00E5571E" w:rsidP="009277EE">
            <w:r w:rsidRPr="00E5571E">
              <w:rPr>
                <w:b/>
                <w:bCs/>
              </w:rPr>
              <w:lastRenderedPageBreak/>
              <w:t xml:space="preserve">Programme </w:t>
            </w:r>
            <w:proofErr w:type="spellStart"/>
            <w:r w:rsidRPr="00E5571E">
              <w:rPr>
                <w:b/>
                <w:bCs/>
              </w:rPr>
              <w:t>Results</w:t>
            </w:r>
            <w:proofErr w:type="spellEnd"/>
          </w:p>
          <w:tbl>
            <w:tblPr>
              <w:tblW w:w="14220" w:type="dxa"/>
              <w:tblInd w:w="720" w:type="dxa"/>
              <w:tblCellMar>
                <w:top w:w="15" w:type="dxa"/>
                <w:left w:w="15" w:type="dxa"/>
                <w:bottom w:w="15" w:type="dxa"/>
                <w:right w:w="15" w:type="dxa"/>
              </w:tblCellMar>
              <w:tblLook w:val="04A0" w:firstRow="1" w:lastRow="0" w:firstColumn="1" w:lastColumn="0" w:noHBand="0" w:noVBand="1"/>
            </w:tblPr>
            <w:tblGrid>
              <w:gridCol w:w="14220"/>
            </w:tblGrid>
            <w:tr w:rsidR="00E5571E" w:rsidRPr="00E5571E" w14:paraId="7640B07E" w14:textId="77777777">
              <w:tc>
                <w:tcPr>
                  <w:tcW w:w="0" w:type="auto"/>
                  <w:tcBorders>
                    <w:top w:val="single" w:sz="8" w:space="0" w:color="F2F2F2"/>
                    <w:left w:val="single" w:sz="8" w:space="0" w:color="F2F2F2"/>
                    <w:bottom w:val="single" w:sz="8" w:space="0" w:color="F2F2F2"/>
                    <w:right w:val="single" w:sz="8" w:space="0" w:color="F2F2F2"/>
                  </w:tcBorders>
                  <w:vAlign w:val="center"/>
                  <w:hideMark/>
                </w:tcPr>
                <w:p w14:paraId="480AE907" w14:textId="765C0BB1" w:rsidR="00E5571E" w:rsidRPr="00E5571E" w:rsidRDefault="00E5571E" w:rsidP="00E5571E">
                  <w:proofErr w:type="spellStart"/>
                  <w:r w:rsidRPr="009277EE">
                    <w:rPr>
                      <w:b/>
                      <w:bCs/>
                    </w:rPr>
                    <w:t>Result</w:t>
                  </w:r>
                  <w:proofErr w:type="spellEnd"/>
                  <w:r w:rsidRPr="009277EE">
                    <w:rPr>
                      <w:b/>
                      <w:bCs/>
                    </w:rPr>
                    <w:t xml:space="preserve"> 1</w:t>
                  </w:r>
                  <w:r w:rsidR="001C5C79">
                    <w:rPr>
                      <w:b/>
                      <w:bCs/>
                    </w:rPr>
                    <w:t> </w:t>
                  </w:r>
                  <w:r w:rsidR="00AB2B46" w:rsidRPr="009277EE">
                    <w:rPr>
                      <w:b/>
                      <w:bCs/>
                    </w:rPr>
                    <w:t>: la ratification de l’Union des Comores à la ZLECAF</w:t>
                  </w:r>
                  <w:r w:rsidR="000745BC" w:rsidRPr="009277EE">
                    <w:rPr>
                      <w:b/>
                      <w:bCs/>
                    </w:rPr>
                    <w:t xml:space="preserve"> est effective et permet</w:t>
                  </w:r>
                  <w:r w:rsidR="009277EE">
                    <w:rPr>
                      <w:b/>
                      <w:bCs/>
                    </w:rPr>
                    <w:t>tra</w:t>
                  </w:r>
                  <w:r w:rsidR="000745BC" w:rsidRPr="009277EE">
                    <w:rPr>
                      <w:b/>
                      <w:bCs/>
                    </w:rPr>
                    <w:t xml:space="preserve"> à l’ensemble de la population </w:t>
                  </w:r>
                  <w:r w:rsidR="009277EE">
                    <w:rPr>
                      <w:b/>
                      <w:bCs/>
                    </w:rPr>
                    <w:t>comorienne, incluant l</w:t>
                  </w:r>
                  <w:r w:rsidR="00A63A1A">
                    <w:rPr>
                      <w:b/>
                      <w:bCs/>
                    </w:rPr>
                    <w:t>es jeunes</w:t>
                  </w:r>
                  <w:r w:rsidR="005E1901">
                    <w:rPr>
                      <w:b/>
                      <w:bCs/>
                    </w:rPr>
                    <w:t xml:space="preserve">, </w:t>
                  </w:r>
                  <w:r w:rsidR="00A63A1A">
                    <w:rPr>
                      <w:b/>
                      <w:bCs/>
                    </w:rPr>
                    <w:t>femmes et membres de l</w:t>
                  </w:r>
                  <w:r w:rsidR="009277EE">
                    <w:rPr>
                      <w:b/>
                      <w:bCs/>
                    </w:rPr>
                    <w:t xml:space="preserve">a diaspora, </w:t>
                  </w:r>
                  <w:r w:rsidR="000745BC" w:rsidRPr="009277EE">
                    <w:rPr>
                      <w:b/>
                      <w:bCs/>
                    </w:rPr>
                    <w:t>de tirer profit de ce nouveau marché</w:t>
                  </w:r>
                  <w:r w:rsidR="000745BC">
                    <w:t>.</w:t>
                  </w:r>
                </w:p>
                <w:p w14:paraId="659A9485" w14:textId="77777777" w:rsidR="00E5571E" w:rsidRPr="00E5571E" w:rsidRDefault="00E5571E" w:rsidP="00E5571E">
                  <w:r w:rsidRPr="00E5571E">
                    <w:t>​</w:t>
                  </w:r>
                </w:p>
              </w:tc>
            </w:tr>
          </w:tbl>
          <w:p w14:paraId="2ABFCD7B" w14:textId="77777777" w:rsidR="00E5571E" w:rsidRPr="00E5571E" w:rsidRDefault="00E5571E" w:rsidP="00E5571E">
            <w:pPr>
              <w:rPr>
                <w:vanish/>
              </w:rPr>
            </w:pPr>
          </w:p>
          <w:tbl>
            <w:tblPr>
              <w:tblW w:w="14025" w:type="dxa"/>
              <w:tblCellSpacing w:w="0" w:type="dxa"/>
              <w:tblCellMar>
                <w:left w:w="0" w:type="dxa"/>
                <w:right w:w="0" w:type="dxa"/>
              </w:tblCellMar>
              <w:tblLook w:val="04A0" w:firstRow="1" w:lastRow="0" w:firstColumn="1" w:lastColumn="0" w:noHBand="0" w:noVBand="1"/>
            </w:tblPr>
            <w:tblGrid>
              <w:gridCol w:w="2741"/>
              <w:gridCol w:w="11284"/>
            </w:tblGrid>
            <w:tr w:rsidR="00E5571E" w:rsidRPr="00E5571E" w14:paraId="79694334" w14:textId="77777777" w:rsidTr="00E5571E">
              <w:trPr>
                <w:tblCellSpacing w:w="0" w:type="dxa"/>
              </w:trPr>
              <w:tc>
                <w:tcPr>
                  <w:tcW w:w="300" w:type="dxa"/>
                  <w:vAlign w:val="center"/>
                  <w:hideMark/>
                </w:tcPr>
                <w:p w14:paraId="1B3ABD54" w14:textId="63F9F6F2" w:rsidR="00E5571E" w:rsidRPr="00E5571E" w:rsidRDefault="00E5571E" w:rsidP="00E5571E">
                  <w:r w:rsidRPr="00E5571E">
                    <w:rPr>
                      <w:noProof/>
                      <w:color w:val="2B579A"/>
                      <w:shd w:val="clear" w:color="auto" w:fill="E6E6E6"/>
                    </w:rPr>
                    <w:drawing>
                      <wp:inline distT="0" distB="0" distL="0" distR="0" wp14:anchorId="2AD904B7" wp14:editId="09498181">
                        <wp:extent cx="1740535" cy="23050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0535" cy="230505"/>
                                </a:xfrm>
                                <a:prstGeom prst="rect">
                                  <a:avLst/>
                                </a:prstGeom>
                                <a:noFill/>
                                <a:ln>
                                  <a:noFill/>
                                </a:ln>
                              </pic:spPr>
                            </pic:pic>
                          </a:graphicData>
                        </a:graphic>
                      </wp:inline>
                    </w:drawing>
                  </w:r>
                </w:p>
              </w:tc>
              <w:tc>
                <w:tcPr>
                  <w:tcW w:w="0" w:type="auto"/>
                  <w:vAlign w:val="center"/>
                  <w:hideMark/>
                </w:tcPr>
                <w:p w14:paraId="377E0A98" w14:textId="77777777" w:rsidR="00E5571E" w:rsidRPr="00E5571E" w:rsidRDefault="009D1B09" w:rsidP="00E5571E">
                  <w:hyperlink r:id="rId18" w:history="1">
                    <w:proofErr w:type="spellStart"/>
                    <w:r w:rsidR="00E5571E" w:rsidRPr="00E5571E">
                      <w:rPr>
                        <w:rStyle w:val="Lienhypertexte"/>
                      </w:rPr>
                      <w:t>Add</w:t>
                    </w:r>
                    <w:proofErr w:type="spellEnd"/>
                    <w:r w:rsidR="00E5571E" w:rsidRPr="00E5571E">
                      <w:rPr>
                        <w:rStyle w:val="Lienhypertexte"/>
                      </w:rPr>
                      <w:t xml:space="preserve"> </w:t>
                    </w:r>
                    <w:proofErr w:type="spellStart"/>
                    <w:r w:rsidR="00E5571E" w:rsidRPr="00E5571E">
                      <w:rPr>
                        <w:rStyle w:val="Lienhypertexte"/>
                      </w:rPr>
                      <w:t>Result</w:t>
                    </w:r>
                    <w:proofErr w:type="spellEnd"/>
                  </w:hyperlink>
                </w:p>
              </w:tc>
            </w:tr>
          </w:tbl>
          <w:p w14:paraId="564427DD" w14:textId="77777777" w:rsidR="00E5571E" w:rsidRPr="00E5571E" w:rsidRDefault="00E5571E" w:rsidP="00E5571E"/>
        </w:tc>
      </w:tr>
      <w:tr w:rsidR="00E5571E" w:rsidRPr="008F1882" w14:paraId="050C93C8" w14:textId="77777777" w:rsidTr="69A8F6F5">
        <w:trPr>
          <w:trHeight w:val="675"/>
          <w:jc w:val="center"/>
        </w:trPr>
        <w:tc>
          <w:tcPr>
            <w:tcW w:w="0" w:type="auto"/>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tcMar>
              <w:top w:w="60" w:type="dxa"/>
              <w:left w:w="330" w:type="dxa"/>
              <w:bottom w:w="60" w:type="dxa"/>
              <w:right w:w="330" w:type="dxa"/>
            </w:tcMar>
            <w:vAlign w:val="center"/>
            <w:hideMark/>
          </w:tcPr>
          <w:p w14:paraId="77E0C5AE" w14:textId="54266414" w:rsidR="00E5571E" w:rsidRPr="008F1882" w:rsidRDefault="001C5C79" w:rsidP="00E5571E">
            <w:r>
              <w:rPr>
                <w:b/>
                <w:bCs/>
              </w:rPr>
              <w:t> </w:t>
            </w:r>
            <w:r w:rsidR="00E5571E" w:rsidRPr="008F1882">
              <w:t>​</w:t>
            </w:r>
          </w:p>
        </w:tc>
      </w:tr>
      <w:tr w:rsidR="00E5571E" w:rsidRPr="00E5571E" w14:paraId="7646F43C" w14:textId="77777777" w:rsidTr="69A8F6F5">
        <w:trPr>
          <w:trHeight w:val="675"/>
          <w:jc w:val="center"/>
        </w:trPr>
        <w:tc>
          <w:tcPr>
            <w:tcW w:w="0" w:type="auto"/>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tcMar>
              <w:top w:w="60" w:type="dxa"/>
              <w:left w:w="330" w:type="dxa"/>
              <w:bottom w:w="60" w:type="dxa"/>
              <w:right w:w="330" w:type="dxa"/>
            </w:tcMar>
            <w:vAlign w:val="center"/>
            <w:hideMark/>
          </w:tcPr>
          <w:p w14:paraId="4E8E24F7" w14:textId="77777777" w:rsidR="00E5571E" w:rsidRPr="00E5571E" w:rsidRDefault="00E5571E" w:rsidP="00E5571E">
            <w:proofErr w:type="spellStart"/>
            <w:r w:rsidRPr="00E5571E">
              <w:rPr>
                <w:b/>
                <w:bCs/>
              </w:rPr>
              <w:t>Indicators</w:t>
            </w:r>
            <w:proofErr w:type="spellEnd"/>
            <w:r w:rsidRPr="00E5571E">
              <w:rPr>
                <w:b/>
                <w:bCs/>
              </w:rPr>
              <w:t xml:space="preserve"> of </w:t>
            </w:r>
            <w:proofErr w:type="spellStart"/>
            <w:r w:rsidRPr="00E5571E">
              <w:rPr>
                <w:b/>
                <w:bCs/>
              </w:rPr>
              <w:t>Success</w:t>
            </w:r>
            <w:proofErr w:type="spellEnd"/>
          </w:p>
          <w:tbl>
            <w:tblPr>
              <w:tblW w:w="14220" w:type="dxa"/>
              <w:tblCellMar>
                <w:top w:w="15" w:type="dxa"/>
                <w:left w:w="15" w:type="dxa"/>
                <w:bottom w:w="15" w:type="dxa"/>
                <w:right w:w="15" w:type="dxa"/>
              </w:tblCellMar>
              <w:tblLook w:val="04A0" w:firstRow="1" w:lastRow="0" w:firstColumn="1" w:lastColumn="0" w:noHBand="0" w:noVBand="1"/>
            </w:tblPr>
            <w:tblGrid>
              <w:gridCol w:w="14220"/>
            </w:tblGrid>
            <w:tr w:rsidR="00E5571E" w:rsidRPr="00FB4D25" w14:paraId="5D561E8C" w14:textId="77777777">
              <w:trPr>
                <w:trHeight w:val="555"/>
              </w:trPr>
              <w:tc>
                <w:tcPr>
                  <w:tcW w:w="0" w:type="auto"/>
                  <w:tcBorders>
                    <w:top w:val="nil"/>
                    <w:left w:val="nil"/>
                    <w:bottom w:val="nil"/>
                    <w:right w:val="nil"/>
                  </w:tcBorders>
                  <w:tcMar>
                    <w:top w:w="15" w:type="dxa"/>
                    <w:left w:w="180" w:type="dxa"/>
                    <w:bottom w:w="15" w:type="dxa"/>
                    <w:right w:w="15" w:type="dxa"/>
                  </w:tcMar>
                  <w:vAlign w:val="center"/>
                  <w:hideMark/>
                </w:tcPr>
                <w:p w14:paraId="3E2CF23F" w14:textId="77777777" w:rsidR="00E5571E" w:rsidRPr="00E5571E" w:rsidRDefault="00E5571E" w:rsidP="00E5571E">
                  <w:pPr>
                    <w:rPr>
                      <w:lang w:val="en-US"/>
                    </w:rPr>
                  </w:pPr>
                  <w:r w:rsidRPr="00E5571E">
                    <w:rPr>
                      <w:i/>
                      <w:iCs/>
                      <w:lang w:val="en-US"/>
                    </w:rPr>
                    <w:t>The submitting CO should identify specific indicators for each result area, being as specific as possible. Each indicator should include a baseline (if available), target, source of data, and timeline.</w:t>
                  </w:r>
                </w:p>
              </w:tc>
            </w:tr>
          </w:tbl>
          <w:p w14:paraId="4BDEBB86" w14:textId="77777777" w:rsidR="00E5571E" w:rsidRPr="00E5571E" w:rsidRDefault="00E5571E" w:rsidP="00E5571E">
            <w:pPr>
              <w:numPr>
                <w:ilvl w:val="0"/>
                <w:numId w:val="8"/>
              </w:numPr>
              <w:rPr>
                <w:vanish/>
                <w:lang w:val="en-US"/>
              </w:rPr>
            </w:pPr>
          </w:p>
          <w:p w14:paraId="3ACCD547" w14:textId="77777777" w:rsidR="00E5571E" w:rsidRPr="00D34D7F" w:rsidRDefault="00E5571E" w:rsidP="00D34D7F">
            <w:pPr>
              <w:rPr>
                <w:lang w:val="en-US"/>
              </w:rPr>
            </w:pPr>
          </w:p>
          <w:tbl>
            <w:tblPr>
              <w:tblW w:w="14220" w:type="dxa"/>
              <w:tblInd w:w="720" w:type="dxa"/>
              <w:tblCellMar>
                <w:top w:w="15" w:type="dxa"/>
                <w:left w:w="15" w:type="dxa"/>
                <w:bottom w:w="15" w:type="dxa"/>
                <w:right w:w="15" w:type="dxa"/>
              </w:tblCellMar>
              <w:tblLook w:val="04A0" w:firstRow="1" w:lastRow="0" w:firstColumn="1" w:lastColumn="0" w:noHBand="0" w:noVBand="1"/>
            </w:tblPr>
            <w:tblGrid>
              <w:gridCol w:w="14184"/>
              <w:gridCol w:w="36"/>
            </w:tblGrid>
            <w:tr w:rsidR="00E5571E" w:rsidRPr="00E5571E" w14:paraId="6F1200E4" w14:textId="77777777" w:rsidTr="5550D510">
              <w:tc>
                <w:tcPr>
                  <w:tcW w:w="0" w:type="auto"/>
                  <w:tcBorders>
                    <w:top w:val="single" w:sz="8" w:space="0" w:color="F2F2F2" w:themeColor="background1" w:themeShade="F2"/>
                    <w:left w:val="nil"/>
                    <w:bottom w:val="nil"/>
                    <w:right w:val="nil"/>
                  </w:tcBorders>
                  <w:vAlign w:val="center"/>
                  <w:hideMark/>
                </w:tcPr>
                <w:p w14:paraId="5F1ED736" w14:textId="119B35F9" w:rsidR="00E5571E" w:rsidRPr="00E5571E" w:rsidRDefault="00E5571E" w:rsidP="00E5571E">
                  <w:r>
                    <w:t>Indicator</w:t>
                  </w:r>
                  <w:r w:rsidR="001C5C79">
                    <w:t> </w:t>
                  </w:r>
                  <w:r>
                    <w:t>:</w:t>
                  </w:r>
                  <w:r w:rsidR="320B5A1A">
                    <w:t xml:space="preserve"> Ratifi</w:t>
                  </w:r>
                  <w:r w:rsidR="1EAAF9F5">
                    <w:t>cation</w:t>
                  </w:r>
                  <w:r w:rsidR="320B5A1A">
                    <w:t xml:space="preserve"> l’accord de libre-échange par l’Union des Comores</w:t>
                  </w:r>
                </w:p>
              </w:tc>
              <w:tc>
                <w:tcPr>
                  <w:tcW w:w="0" w:type="auto"/>
                  <w:tcBorders>
                    <w:top w:val="single" w:sz="8" w:space="0" w:color="F2F2F2" w:themeColor="background1" w:themeShade="F2"/>
                    <w:left w:val="nil"/>
                    <w:bottom w:val="nil"/>
                    <w:right w:val="single" w:sz="8" w:space="0" w:color="F2F2F2" w:themeColor="background1" w:themeShade="F2"/>
                  </w:tcBorders>
                  <w:vAlign w:val="center"/>
                  <w:hideMark/>
                </w:tcPr>
                <w:p w14:paraId="3D332B54" w14:textId="77777777" w:rsidR="00E5571E" w:rsidRPr="00E5571E" w:rsidRDefault="00E5571E" w:rsidP="00E5571E">
                  <w:r w:rsidRPr="00E5571E">
                    <w:t>​</w:t>
                  </w:r>
                </w:p>
              </w:tc>
            </w:tr>
            <w:tr w:rsidR="00E5571E" w:rsidRPr="00E5571E" w14:paraId="0D02091E" w14:textId="77777777" w:rsidTr="5550D510">
              <w:trPr>
                <w:trHeight w:val="690"/>
              </w:trPr>
              <w:tc>
                <w:tcPr>
                  <w:tcW w:w="0" w:type="auto"/>
                  <w:tcBorders>
                    <w:top w:val="nil"/>
                    <w:left w:val="single" w:sz="8" w:space="0" w:color="F2F2F2" w:themeColor="background1" w:themeShade="F2"/>
                    <w:bottom w:val="nil"/>
                    <w:right w:val="nil"/>
                  </w:tcBorders>
                  <w:vAlign w:val="center"/>
                  <w:hideMark/>
                </w:tcPr>
                <w:p w14:paraId="20B920B1" w14:textId="0A724460" w:rsidR="00E5571E" w:rsidRPr="00E5571E" w:rsidRDefault="00E5571E" w:rsidP="00E5571E">
                  <w:r w:rsidRPr="00E5571E">
                    <w:t>Baseline</w:t>
                  </w:r>
                  <w:r w:rsidR="001C5C79">
                    <w:t> </w:t>
                  </w:r>
                  <w:r w:rsidRPr="00E5571E">
                    <w:t>:</w:t>
                  </w:r>
                  <w:r w:rsidR="000745BC">
                    <w:t xml:space="preserve"> l’Union des Comores a </w:t>
                  </w:r>
                  <w:r w:rsidR="005D1D29">
                    <w:t>signé l’accord en 2018 mais ne l’a pas encore ratifié</w:t>
                  </w:r>
                </w:p>
              </w:tc>
              <w:tc>
                <w:tcPr>
                  <w:tcW w:w="0" w:type="auto"/>
                  <w:tcBorders>
                    <w:top w:val="nil"/>
                    <w:left w:val="nil"/>
                    <w:bottom w:val="nil"/>
                    <w:right w:val="single" w:sz="8" w:space="0" w:color="F2F2F2" w:themeColor="background1" w:themeShade="F2"/>
                  </w:tcBorders>
                  <w:vAlign w:val="center"/>
                  <w:hideMark/>
                </w:tcPr>
                <w:p w14:paraId="7927F57F" w14:textId="77777777" w:rsidR="00E5571E" w:rsidRPr="00E5571E" w:rsidRDefault="00E5571E" w:rsidP="00E5571E">
                  <w:r w:rsidRPr="00E5571E">
                    <w:t>​</w:t>
                  </w:r>
                </w:p>
              </w:tc>
            </w:tr>
            <w:tr w:rsidR="00E5571E" w:rsidRPr="00E5571E" w14:paraId="6B5371B0" w14:textId="77777777" w:rsidTr="5550D510">
              <w:tc>
                <w:tcPr>
                  <w:tcW w:w="0" w:type="auto"/>
                  <w:tcBorders>
                    <w:top w:val="nil"/>
                    <w:left w:val="single" w:sz="8" w:space="0" w:color="F2F2F2" w:themeColor="background1" w:themeShade="F2"/>
                    <w:bottom w:val="nil"/>
                    <w:right w:val="nil"/>
                  </w:tcBorders>
                  <w:vAlign w:val="center"/>
                  <w:hideMark/>
                </w:tcPr>
                <w:p w14:paraId="222480AB" w14:textId="5CB5C777" w:rsidR="00E5571E" w:rsidRPr="00E5571E" w:rsidRDefault="00E5571E" w:rsidP="00E5571E">
                  <w:r w:rsidRPr="00E5571E">
                    <w:t>Target</w:t>
                  </w:r>
                  <w:r w:rsidR="001C5C79">
                    <w:t> </w:t>
                  </w:r>
                  <w:r w:rsidRPr="00E5571E">
                    <w:t>:</w:t>
                  </w:r>
                  <w:r w:rsidR="000745BC">
                    <w:t xml:space="preserve"> L’Union des Comores ratifie l’accord de libre-échange en 2022</w:t>
                  </w:r>
                  <w:r w:rsidR="009D34B5">
                    <w:t xml:space="preserve"> (session octobre 2022)</w:t>
                  </w:r>
                </w:p>
              </w:tc>
              <w:tc>
                <w:tcPr>
                  <w:tcW w:w="0" w:type="auto"/>
                  <w:tcBorders>
                    <w:top w:val="nil"/>
                    <w:left w:val="nil"/>
                    <w:bottom w:val="nil"/>
                    <w:right w:val="single" w:sz="8" w:space="0" w:color="F2F2F2" w:themeColor="background1" w:themeShade="F2"/>
                  </w:tcBorders>
                  <w:vAlign w:val="center"/>
                  <w:hideMark/>
                </w:tcPr>
                <w:p w14:paraId="6D68DF82" w14:textId="77777777" w:rsidR="00E5571E" w:rsidRPr="00E5571E" w:rsidRDefault="00E5571E" w:rsidP="00E5571E">
                  <w:r w:rsidRPr="00E5571E">
                    <w:t>​</w:t>
                  </w:r>
                </w:p>
              </w:tc>
            </w:tr>
            <w:tr w:rsidR="00E5571E" w:rsidRPr="00E5571E" w14:paraId="43DAAB1D" w14:textId="77777777" w:rsidTr="5550D510">
              <w:tc>
                <w:tcPr>
                  <w:tcW w:w="0" w:type="auto"/>
                  <w:tcBorders>
                    <w:top w:val="nil"/>
                    <w:left w:val="single" w:sz="8" w:space="0" w:color="F2F2F2" w:themeColor="background1" w:themeShade="F2"/>
                    <w:bottom w:val="nil"/>
                    <w:right w:val="nil"/>
                  </w:tcBorders>
                  <w:vAlign w:val="center"/>
                  <w:hideMark/>
                </w:tcPr>
                <w:p w14:paraId="7B3D69B1" w14:textId="44B20559" w:rsidR="00E5571E" w:rsidRPr="000745BC" w:rsidRDefault="00E5571E" w:rsidP="00E5571E">
                  <w:r w:rsidRPr="000745BC">
                    <w:t>Source of data</w:t>
                  </w:r>
                  <w:r w:rsidR="001C5C79">
                    <w:t> </w:t>
                  </w:r>
                  <w:r w:rsidRPr="000745BC">
                    <w:t>:</w:t>
                  </w:r>
                  <w:r w:rsidR="000745BC" w:rsidRPr="000745BC">
                    <w:t xml:space="preserve"> </w:t>
                  </w:r>
                  <w:r w:rsidR="004C399A">
                    <w:t>Publication</w:t>
                  </w:r>
                  <w:r w:rsidR="004C399A" w:rsidRPr="000745BC">
                    <w:t xml:space="preserve"> </w:t>
                  </w:r>
                  <w:r w:rsidR="002C667E">
                    <w:t>au Journal</w:t>
                  </w:r>
                  <w:r w:rsidR="002E1F23">
                    <w:t xml:space="preserve"> </w:t>
                  </w:r>
                  <w:r w:rsidR="000745BC" w:rsidRPr="000745BC">
                    <w:t>Officiel de l’Union de</w:t>
                  </w:r>
                  <w:r w:rsidR="000745BC">
                    <w:t>s Comores / Communiqué de la Présidence</w:t>
                  </w:r>
                  <w:r w:rsidR="004C399A">
                    <w:t xml:space="preserve"> / couverture médiatique autour de la ratification</w:t>
                  </w:r>
                </w:p>
              </w:tc>
              <w:tc>
                <w:tcPr>
                  <w:tcW w:w="0" w:type="auto"/>
                  <w:tcBorders>
                    <w:top w:val="nil"/>
                    <w:left w:val="nil"/>
                    <w:bottom w:val="nil"/>
                    <w:right w:val="single" w:sz="8" w:space="0" w:color="F2F2F2" w:themeColor="background1" w:themeShade="F2"/>
                  </w:tcBorders>
                  <w:vAlign w:val="center"/>
                  <w:hideMark/>
                </w:tcPr>
                <w:p w14:paraId="7E0C95C5" w14:textId="77777777" w:rsidR="00E5571E" w:rsidRPr="00E5571E" w:rsidRDefault="00E5571E" w:rsidP="00E5571E">
                  <w:r w:rsidRPr="00E5571E">
                    <w:t>​</w:t>
                  </w:r>
                </w:p>
              </w:tc>
            </w:tr>
            <w:tr w:rsidR="00E5571E" w:rsidRPr="00E5571E" w14:paraId="59ABFB19" w14:textId="77777777" w:rsidTr="5550D510">
              <w:tc>
                <w:tcPr>
                  <w:tcW w:w="0" w:type="auto"/>
                  <w:tcBorders>
                    <w:top w:val="nil"/>
                    <w:left w:val="single" w:sz="8" w:space="0" w:color="F2F2F2" w:themeColor="background1" w:themeShade="F2"/>
                    <w:bottom w:val="single" w:sz="8" w:space="0" w:color="F2F2F2" w:themeColor="background1" w:themeShade="F2"/>
                    <w:right w:val="nil"/>
                  </w:tcBorders>
                  <w:vAlign w:val="center"/>
                  <w:hideMark/>
                </w:tcPr>
                <w:p w14:paraId="4FAE3426" w14:textId="5FDA2ADB" w:rsidR="00E5571E" w:rsidRDefault="00E5571E" w:rsidP="00E5571E">
                  <w:r w:rsidRPr="00435BAD">
                    <w:t xml:space="preserve">Timeline for </w:t>
                  </w:r>
                  <w:proofErr w:type="spellStart"/>
                  <w:r w:rsidRPr="00435BAD">
                    <w:t>target</w:t>
                  </w:r>
                  <w:proofErr w:type="spellEnd"/>
                  <w:r w:rsidR="001C5C79">
                    <w:t> </w:t>
                  </w:r>
                  <w:r w:rsidRPr="00435BAD">
                    <w:t>:</w:t>
                  </w:r>
                  <w:r w:rsidR="320B5A1A" w:rsidRPr="00435BAD">
                    <w:t xml:space="preserve"> </w:t>
                  </w:r>
                  <w:r w:rsidR="009D34B5">
                    <w:t>octobre</w:t>
                  </w:r>
                  <w:r w:rsidR="320B5A1A" w:rsidRPr="00435BAD">
                    <w:t xml:space="preserve"> 2022</w:t>
                  </w:r>
                </w:p>
                <w:p w14:paraId="2933EF9B" w14:textId="77777777" w:rsidR="00FC0382" w:rsidRPr="00435BAD" w:rsidRDefault="00FC0382" w:rsidP="00E5571E"/>
                <w:p w14:paraId="176731DF" w14:textId="27151F99" w:rsidR="00FC0382" w:rsidRPr="008102A6" w:rsidRDefault="00FC0382" w:rsidP="00FC0382">
                  <w:pPr>
                    <w:rPr>
                      <w:b/>
                      <w:bCs/>
                    </w:rPr>
                  </w:pPr>
                  <w:r w:rsidRPr="008102A6">
                    <w:rPr>
                      <w:b/>
                      <w:bCs/>
                    </w:rPr>
                    <w:t>Indicateurs en lien avec le CPD 2022-2026</w:t>
                  </w:r>
                  <w:r w:rsidR="001C5C79">
                    <w:rPr>
                      <w:b/>
                      <w:bCs/>
                    </w:rPr>
                    <w:t> </w:t>
                  </w:r>
                  <w:r w:rsidRPr="008102A6">
                    <w:rPr>
                      <w:b/>
                      <w:bCs/>
                    </w:rPr>
                    <w:t>:</w:t>
                  </w:r>
                </w:p>
                <w:p w14:paraId="6CF1021D" w14:textId="2F18E32B" w:rsidR="00FC0382" w:rsidRDefault="00FC0382" w:rsidP="00FC0382">
                  <w:r w:rsidRPr="008102A6">
                    <w:t>Indicateurs 2.1.1</w:t>
                  </w:r>
                  <w:r w:rsidR="001C5C79">
                    <w:t> </w:t>
                  </w:r>
                  <w:r w:rsidRPr="008102A6">
                    <w:t xml:space="preserve">: Nombre de cadres réglementaires de promotion de l’entrepreneuriat dans les domaines de l’économie verte et bleue créés afin de promouvoir des entreprises performantes, socialement responsables et à faible empreinte écologique </w:t>
                  </w:r>
                </w:p>
                <w:p w14:paraId="74EB0506" w14:textId="00CF2F4F" w:rsidR="00FC0382" w:rsidRDefault="00FC0382" w:rsidP="00FC0382">
                  <w:r w:rsidRPr="008102A6">
                    <w:t>Niveau de référence</w:t>
                  </w:r>
                  <w:r w:rsidR="001C5C79">
                    <w:t> </w:t>
                  </w:r>
                  <w:r w:rsidRPr="008102A6">
                    <w:t xml:space="preserve">: 2 (2020) </w:t>
                  </w:r>
                </w:p>
                <w:p w14:paraId="53D00345" w14:textId="3FCA652D" w:rsidR="001C5C79" w:rsidRDefault="00FC0382" w:rsidP="00FC0382">
                  <w:r w:rsidRPr="008102A6">
                    <w:t>Niveau cible</w:t>
                  </w:r>
                  <w:r w:rsidR="001C5C79">
                    <w:t> </w:t>
                  </w:r>
                  <w:r w:rsidRPr="008102A6">
                    <w:t xml:space="preserve">: 4 </w:t>
                  </w:r>
                </w:p>
                <w:p w14:paraId="06E91A5B" w14:textId="43D3DDE6" w:rsidR="00FC0382" w:rsidRPr="008102A6" w:rsidRDefault="00FC0382" w:rsidP="001C5C79">
                  <w:r w:rsidRPr="008102A6">
                    <w:t xml:space="preserve">Source des données : Rapport annuel du Ministère de l’économie </w:t>
                  </w:r>
                </w:p>
                <w:p w14:paraId="1278692B" w14:textId="1E7F7FED" w:rsidR="00E5571E" w:rsidRPr="00435BAD" w:rsidRDefault="00E5571E" w:rsidP="5550D510"/>
                <w:p w14:paraId="36E35DD0" w14:textId="2D78B1CA" w:rsidR="00E5571E" w:rsidRPr="00435BAD" w:rsidRDefault="00E5571E" w:rsidP="5550D510"/>
              </w:tc>
              <w:tc>
                <w:tcPr>
                  <w:tcW w:w="0" w:type="auto"/>
                  <w:tcBorders>
                    <w:top w:val="nil"/>
                    <w:left w:val="nil"/>
                    <w:bottom w:val="single" w:sz="8" w:space="0" w:color="F2F2F2" w:themeColor="background1" w:themeShade="F2"/>
                    <w:right w:val="single" w:sz="8" w:space="0" w:color="F2F2F2" w:themeColor="background1" w:themeShade="F2"/>
                  </w:tcBorders>
                  <w:vAlign w:val="center"/>
                  <w:hideMark/>
                </w:tcPr>
                <w:p w14:paraId="4B92CC14" w14:textId="77777777" w:rsidR="00E5571E" w:rsidRPr="00E5571E" w:rsidRDefault="00E5571E" w:rsidP="00E5571E">
                  <w:r w:rsidRPr="00E5571E">
                    <w:lastRenderedPageBreak/>
                    <w:t>​</w:t>
                  </w:r>
                </w:p>
              </w:tc>
            </w:tr>
          </w:tbl>
          <w:p w14:paraId="35CCD423" w14:textId="77777777" w:rsidR="00E5571E" w:rsidRPr="00E5571E" w:rsidRDefault="00E5571E" w:rsidP="00E5571E">
            <w:pPr>
              <w:rPr>
                <w:vanish/>
              </w:rPr>
            </w:pPr>
          </w:p>
          <w:tbl>
            <w:tblPr>
              <w:tblW w:w="14025" w:type="dxa"/>
              <w:tblCellSpacing w:w="0" w:type="dxa"/>
              <w:tblCellMar>
                <w:left w:w="0" w:type="dxa"/>
                <w:right w:w="0" w:type="dxa"/>
              </w:tblCellMar>
              <w:tblLook w:val="04A0" w:firstRow="1" w:lastRow="0" w:firstColumn="1" w:lastColumn="0" w:noHBand="0" w:noVBand="1"/>
            </w:tblPr>
            <w:tblGrid>
              <w:gridCol w:w="2741"/>
              <w:gridCol w:w="11284"/>
            </w:tblGrid>
            <w:tr w:rsidR="00E5571E" w:rsidRPr="00E5571E" w14:paraId="50789442" w14:textId="77777777" w:rsidTr="00E5571E">
              <w:trPr>
                <w:tblCellSpacing w:w="0" w:type="dxa"/>
              </w:trPr>
              <w:tc>
                <w:tcPr>
                  <w:tcW w:w="300" w:type="dxa"/>
                  <w:vAlign w:val="center"/>
                  <w:hideMark/>
                </w:tcPr>
                <w:p w14:paraId="0DF30554" w14:textId="71135DE7" w:rsidR="00E5571E" w:rsidRPr="00E5571E" w:rsidRDefault="00E5571E" w:rsidP="00E5571E">
                  <w:r w:rsidRPr="00E5571E">
                    <w:rPr>
                      <w:noProof/>
                      <w:color w:val="2B579A"/>
                      <w:shd w:val="clear" w:color="auto" w:fill="E6E6E6"/>
                    </w:rPr>
                    <w:drawing>
                      <wp:inline distT="0" distB="0" distL="0" distR="0" wp14:anchorId="6296B659" wp14:editId="495F88E4">
                        <wp:extent cx="1740535" cy="23050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0535" cy="230505"/>
                                </a:xfrm>
                                <a:prstGeom prst="rect">
                                  <a:avLst/>
                                </a:prstGeom>
                                <a:noFill/>
                                <a:ln>
                                  <a:noFill/>
                                </a:ln>
                              </pic:spPr>
                            </pic:pic>
                          </a:graphicData>
                        </a:graphic>
                      </wp:inline>
                    </w:drawing>
                  </w:r>
                </w:p>
              </w:tc>
              <w:tc>
                <w:tcPr>
                  <w:tcW w:w="0" w:type="auto"/>
                  <w:vAlign w:val="center"/>
                  <w:hideMark/>
                </w:tcPr>
                <w:p w14:paraId="3F202D59" w14:textId="77777777" w:rsidR="00E5571E" w:rsidRPr="00E5571E" w:rsidRDefault="009D1B09" w:rsidP="00E5571E">
                  <w:hyperlink r:id="rId19" w:history="1">
                    <w:proofErr w:type="spellStart"/>
                    <w:r w:rsidR="00E5571E" w:rsidRPr="00E5571E">
                      <w:rPr>
                        <w:rStyle w:val="Lienhypertexte"/>
                      </w:rPr>
                      <w:t>Add</w:t>
                    </w:r>
                    <w:proofErr w:type="spellEnd"/>
                    <w:r w:rsidR="00E5571E" w:rsidRPr="00E5571E">
                      <w:rPr>
                        <w:rStyle w:val="Lienhypertexte"/>
                      </w:rPr>
                      <w:t xml:space="preserve"> Indicator</w:t>
                    </w:r>
                  </w:hyperlink>
                </w:p>
              </w:tc>
            </w:tr>
          </w:tbl>
          <w:p w14:paraId="3CDC9B84" w14:textId="77777777" w:rsidR="00E5571E" w:rsidRPr="00E5571E" w:rsidRDefault="00E5571E" w:rsidP="00E5571E"/>
        </w:tc>
      </w:tr>
      <w:tr w:rsidR="009277EE" w:rsidRPr="00E5571E" w14:paraId="0269823C" w14:textId="77777777" w:rsidTr="69A8F6F5">
        <w:trPr>
          <w:trHeight w:val="675"/>
          <w:jc w:val="center"/>
        </w:trPr>
        <w:tc>
          <w:tcPr>
            <w:tcW w:w="0" w:type="auto"/>
            <w:tcBorders>
              <w:top w:val="single" w:sz="12" w:space="0" w:color="F2F2F2" w:themeColor="background1" w:themeShade="F2"/>
              <w:left w:val="single" w:sz="12" w:space="0" w:color="F2F2F2" w:themeColor="background1" w:themeShade="F2"/>
              <w:bottom w:val="single" w:sz="8" w:space="0" w:color="A6C2B2"/>
              <w:right w:val="single" w:sz="12" w:space="0" w:color="F2F2F2" w:themeColor="background1" w:themeShade="F2"/>
            </w:tcBorders>
            <w:tcMar>
              <w:top w:w="60" w:type="dxa"/>
              <w:left w:w="330" w:type="dxa"/>
              <w:bottom w:w="60" w:type="dxa"/>
              <w:right w:w="330" w:type="dxa"/>
            </w:tcMar>
            <w:vAlign w:val="center"/>
            <w:hideMark/>
          </w:tcPr>
          <w:p w14:paraId="5766ED09" w14:textId="77777777" w:rsidR="009277EE" w:rsidRPr="00E5571E" w:rsidRDefault="009277EE" w:rsidP="009277EE"/>
          <w:tbl>
            <w:tblPr>
              <w:tblW w:w="14220" w:type="dxa"/>
              <w:tblInd w:w="720" w:type="dxa"/>
              <w:tblCellMar>
                <w:top w:w="15" w:type="dxa"/>
                <w:left w:w="15" w:type="dxa"/>
                <w:bottom w:w="15" w:type="dxa"/>
                <w:right w:w="15" w:type="dxa"/>
              </w:tblCellMar>
              <w:tblLook w:val="04A0" w:firstRow="1" w:lastRow="0" w:firstColumn="1" w:lastColumn="0" w:noHBand="0" w:noVBand="1"/>
            </w:tblPr>
            <w:tblGrid>
              <w:gridCol w:w="14220"/>
            </w:tblGrid>
            <w:tr w:rsidR="009277EE" w:rsidRPr="00E5571E" w14:paraId="19127D2D" w14:textId="77777777" w:rsidTr="008102A6">
              <w:tc>
                <w:tcPr>
                  <w:tcW w:w="0" w:type="auto"/>
                  <w:tcBorders>
                    <w:top w:val="single" w:sz="8" w:space="0" w:color="F2F2F2"/>
                    <w:left w:val="single" w:sz="8" w:space="0" w:color="F2F2F2"/>
                    <w:bottom w:val="single" w:sz="8" w:space="0" w:color="F2F2F2"/>
                    <w:right w:val="single" w:sz="8" w:space="0" w:color="F2F2F2"/>
                  </w:tcBorders>
                  <w:vAlign w:val="center"/>
                  <w:hideMark/>
                </w:tcPr>
                <w:p w14:paraId="22A05002" w14:textId="36FCCF0C" w:rsidR="009277EE" w:rsidRPr="009277EE" w:rsidRDefault="009277EE" w:rsidP="009277EE">
                  <w:pPr>
                    <w:rPr>
                      <w:b/>
                      <w:bCs/>
                    </w:rPr>
                  </w:pPr>
                  <w:r w:rsidRPr="009277EE">
                    <w:rPr>
                      <w:b/>
                      <w:bCs/>
                    </w:rPr>
                    <w:t xml:space="preserve">Résultat 2 : </w:t>
                  </w:r>
                  <w:r w:rsidR="00D34D7F">
                    <w:rPr>
                      <w:b/>
                      <w:bCs/>
                    </w:rPr>
                    <w:t xml:space="preserve">les </w:t>
                  </w:r>
                  <w:r w:rsidR="005C7E2C">
                    <w:rPr>
                      <w:b/>
                      <w:bCs/>
                    </w:rPr>
                    <w:t xml:space="preserve">entrepreneurs </w:t>
                  </w:r>
                  <w:r w:rsidR="00747CF2">
                    <w:rPr>
                      <w:b/>
                      <w:bCs/>
                    </w:rPr>
                    <w:t>(femmes et jeunes)</w:t>
                  </w:r>
                  <w:r w:rsidR="00D34D7F">
                    <w:rPr>
                      <w:b/>
                      <w:bCs/>
                    </w:rPr>
                    <w:t xml:space="preserve"> </w:t>
                  </w:r>
                  <w:r w:rsidR="00C8348D">
                    <w:rPr>
                      <w:b/>
                      <w:bCs/>
                    </w:rPr>
                    <w:t xml:space="preserve">sont </w:t>
                  </w:r>
                  <w:r w:rsidR="004806FA">
                    <w:rPr>
                      <w:b/>
                      <w:bCs/>
                    </w:rPr>
                    <w:t>plus compétitifs et préparés</w:t>
                  </w:r>
                  <w:r w:rsidR="005C7E2C">
                    <w:rPr>
                      <w:b/>
                      <w:bCs/>
                    </w:rPr>
                    <w:t xml:space="preserve"> afin de </w:t>
                  </w:r>
                  <w:r w:rsidR="00D34D7F">
                    <w:rPr>
                      <w:b/>
                      <w:bCs/>
                    </w:rPr>
                    <w:t xml:space="preserve"> </w:t>
                  </w:r>
                  <w:r w:rsidR="00C8348D">
                    <w:rPr>
                      <w:b/>
                      <w:bCs/>
                    </w:rPr>
                    <w:t>tirer profit de</w:t>
                  </w:r>
                  <w:r>
                    <w:rPr>
                      <w:b/>
                      <w:bCs/>
                    </w:rPr>
                    <w:t xml:space="preserve"> l’adhésion des Comores à la ZLECAf</w:t>
                  </w:r>
                </w:p>
                <w:p w14:paraId="7B2A191E" w14:textId="77777777" w:rsidR="009277EE" w:rsidRPr="00E5571E" w:rsidRDefault="009277EE" w:rsidP="009277EE">
                  <w:r w:rsidRPr="00E5571E">
                    <w:t>​</w:t>
                  </w:r>
                </w:p>
              </w:tc>
            </w:tr>
          </w:tbl>
          <w:p w14:paraId="7558E2C3" w14:textId="77777777" w:rsidR="009277EE" w:rsidRPr="00E5571E" w:rsidRDefault="009277EE" w:rsidP="009277EE">
            <w:pPr>
              <w:rPr>
                <w:vanish/>
              </w:rPr>
            </w:pPr>
          </w:p>
          <w:tbl>
            <w:tblPr>
              <w:tblW w:w="14025" w:type="dxa"/>
              <w:tblCellSpacing w:w="0" w:type="dxa"/>
              <w:tblCellMar>
                <w:left w:w="0" w:type="dxa"/>
                <w:right w:w="0" w:type="dxa"/>
              </w:tblCellMar>
              <w:tblLook w:val="04A0" w:firstRow="1" w:lastRow="0" w:firstColumn="1" w:lastColumn="0" w:noHBand="0" w:noVBand="1"/>
            </w:tblPr>
            <w:tblGrid>
              <w:gridCol w:w="2741"/>
              <w:gridCol w:w="11284"/>
            </w:tblGrid>
            <w:tr w:rsidR="009277EE" w:rsidRPr="00E5571E" w14:paraId="29608F4B" w14:textId="77777777" w:rsidTr="008102A6">
              <w:trPr>
                <w:tblCellSpacing w:w="0" w:type="dxa"/>
              </w:trPr>
              <w:tc>
                <w:tcPr>
                  <w:tcW w:w="300" w:type="dxa"/>
                  <w:vAlign w:val="center"/>
                  <w:hideMark/>
                </w:tcPr>
                <w:p w14:paraId="6E00549D" w14:textId="77777777" w:rsidR="009277EE" w:rsidRPr="00E5571E" w:rsidRDefault="009277EE" w:rsidP="009277EE">
                  <w:r w:rsidRPr="00E5571E">
                    <w:rPr>
                      <w:noProof/>
                      <w:color w:val="2B579A"/>
                      <w:shd w:val="clear" w:color="auto" w:fill="E6E6E6"/>
                    </w:rPr>
                    <w:drawing>
                      <wp:inline distT="0" distB="0" distL="0" distR="0" wp14:anchorId="7865E6F1" wp14:editId="78599C51">
                        <wp:extent cx="1740535" cy="23050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0535" cy="230505"/>
                                </a:xfrm>
                                <a:prstGeom prst="rect">
                                  <a:avLst/>
                                </a:prstGeom>
                                <a:noFill/>
                                <a:ln>
                                  <a:noFill/>
                                </a:ln>
                              </pic:spPr>
                            </pic:pic>
                          </a:graphicData>
                        </a:graphic>
                      </wp:inline>
                    </w:drawing>
                  </w:r>
                </w:p>
              </w:tc>
              <w:tc>
                <w:tcPr>
                  <w:tcW w:w="0" w:type="auto"/>
                  <w:vAlign w:val="center"/>
                  <w:hideMark/>
                </w:tcPr>
                <w:p w14:paraId="1DBAFBF4" w14:textId="77777777" w:rsidR="009277EE" w:rsidRPr="00E5571E" w:rsidRDefault="009D1B09" w:rsidP="009277EE">
                  <w:hyperlink r:id="rId20" w:history="1">
                    <w:proofErr w:type="spellStart"/>
                    <w:r w:rsidR="009277EE" w:rsidRPr="00E5571E">
                      <w:rPr>
                        <w:rStyle w:val="Lienhypertexte"/>
                      </w:rPr>
                      <w:t>Add</w:t>
                    </w:r>
                    <w:proofErr w:type="spellEnd"/>
                    <w:r w:rsidR="009277EE" w:rsidRPr="00E5571E">
                      <w:rPr>
                        <w:rStyle w:val="Lienhypertexte"/>
                      </w:rPr>
                      <w:t xml:space="preserve"> </w:t>
                    </w:r>
                    <w:proofErr w:type="spellStart"/>
                    <w:r w:rsidR="009277EE" w:rsidRPr="00E5571E">
                      <w:rPr>
                        <w:rStyle w:val="Lienhypertexte"/>
                      </w:rPr>
                      <w:t>Result</w:t>
                    </w:r>
                    <w:proofErr w:type="spellEnd"/>
                  </w:hyperlink>
                </w:p>
              </w:tc>
            </w:tr>
          </w:tbl>
          <w:p w14:paraId="1B14A779" w14:textId="0A7EA1FD" w:rsidR="009277EE" w:rsidRPr="00E5571E" w:rsidRDefault="009277EE" w:rsidP="009277EE"/>
        </w:tc>
      </w:tr>
      <w:tr w:rsidR="009277EE" w:rsidRPr="003F0991" w14:paraId="72E74467" w14:textId="77777777" w:rsidTr="69A8F6F5">
        <w:trPr>
          <w:trHeight w:val="405"/>
          <w:jc w:val="center"/>
        </w:trPr>
        <w:tc>
          <w:tcPr>
            <w:tcW w:w="0" w:type="auto"/>
            <w:tcBorders>
              <w:top w:val="nil"/>
              <w:left w:val="nil"/>
              <w:bottom w:val="nil"/>
              <w:right w:val="nil"/>
            </w:tcBorders>
            <w:shd w:val="clear" w:color="auto" w:fill="E1EAE5"/>
            <w:tcMar>
              <w:top w:w="30" w:type="dxa"/>
              <w:left w:w="330" w:type="dxa"/>
              <w:bottom w:w="30" w:type="dxa"/>
              <w:right w:w="330" w:type="dxa"/>
            </w:tcMar>
            <w:vAlign w:val="center"/>
            <w:hideMark/>
          </w:tcPr>
          <w:p w14:paraId="2483EF0F" w14:textId="1B6D7394" w:rsidR="00663F7D" w:rsidRPr="00F315F2" w:rsidRDefault="03836AB5" w:rsidP="00423E37">
            <w:pPr>
              <w:rPr>
                <w:b/>
                <w:bCs/>
              </w:rPr>
            </w:pPr>
            <w:proofErr w:type="spellStart"/>
            <w:r w:rsidRPr="00F315F2">
              <w:rPr>
                <w:b/>
                <w:bCs/>
              </w:rPr>
              <w:t>Other</w:t>
            </w:r>
            <w:proofErr w:type="spellEnd"/>
            <w:r w:rsidRPr="00F315F2">
              <w:rPr>
                <w:b/>
                <w:bCs/>
              </w:rPr>
              <w:t xml:space="preserve"> </w:t>
            </w:r>
            <w:proofErr w:type="spellStart"/>
            <w:r w:rsidRPr="00F315F2">
              <w:rPr>
                <w:b/>
                <w:bCs/>
              </w:rPr>
              <w:t>Benefits</w:t>
            </w:r>
            <w:proofErr w:type="spellEnd"/>
            <w:r w:rsidRPr="00F315F2">
              <w:rPr>
                <w:b/>
                <w:bCs/>
              </w:rPr>
              <w:t>:</w:t>
            </w:r>
            <w:r w:rsidR="00F315F2" w:rsidRPr="00F315F2">
              <w:rPr>
                <w:b/>
                <w:bCs/>
              </w:rPr>
              <w:t xml:space="preserve"> </w:t>
            </w:r>
          </w:p>
          <w:p w14:paraId="139C0F6C" w14:textId="5C8A1EA6" w:rsidR="00F315F2" w:rsidRPr="00BC6167" w:rsidRDefault="0024280E" w:rsidP="00F315F2">
            <w:pPr>
              <w:pStyle w:val="Paragraphedeliste"/>
              <w:numPr>
                <w:ilvl w:val="0"/>
                <w:numId w:val="4"/>
              </w:numPr>
              <w:spacing w:after="0"/>
              <w:rPr>
                <w:b/>
                <w:bCs/>
              </w:rPr>
            </w:pPr>
            <w:r>
              <w:t>U</w:t>
            </w:r>
            <w:r w:rsidR="31B8604E">
              <w:t xml:space="preserve">tilisation de l’innovation et du numérique pour renforcer les capacités des entrepreneurs jeunes et féminins va participer à la transformation digitale du pays voulue par le gouvernement. Ces actions sont alignées avec l’appui du PNUD aux Comores qui est en discussion pour mettre en place le </w:t>
            </w:r>
            <w:r w:rsidR="31B8604E" w:rsidRPr="00FB5D98">
              <w:rPr>
                <w:i/>
                <w:iCs/>
              </w:rPr>
              <w:t xml:space="preserve">Digital </w:t>
            </w:r>
            <w:proofErr w:type="spellStart"/>
            <w:r w:rsidR="31B8604E" w:rsidRPr="00FB5D98">
              <w:rPr>
                <w:i/>
                <w:iCs/>
              </w:rPr>
              <w:t>Readiness</w:t>
            </w:r>
            <w:proofErr w:type="spellEnd"/>
            <w:r w:rsidR="31B8604E" w:rsidRPr="00FB5D98">
              <w:rPr>
                <w:i/>
                <w:iCs/>
              </w:rPr>
              <w:t xml:space="preserve"> </w:t>
            </w:r>
            <w:proofErr w:type="spellStart"/>
            <w:r w:rsidR="31B8604E" w:rsidRPr="00FB5D98">
              <w:rPr>
                <w:i/>
                <w:iCs/>
              </w:rPr>
              <w:t>Assessment</w:t>
            </w:r>
            <w:proofErr w:type="spellEnd"/>
            <w:r w:rsidR="00FB5D98">
              <w:rPr>
                <w:i/>
                <w:iCs/>
              </w:rPr>
              <w:t xml:space="preserve"> </w:t>
            </w:r>
            <w:r w:rsidR="00FB5D98" w:rsidRPr="00FB5D98">
              <w:t>en</w:t>
            </w:r>
            <w:r w:rsidR="3542494F" w:rsidRPr="00FB5D98">
              <w:t xml:space="preserve"> </w:t>
            </w:r>
            <w:r w:rsidR="3542494F">
              <w:t>2022</w:t>
            </w:r>
            <w:r w:rsidR="31B8604E">
              <w:t>.</w:t>
            </w:r>
            <w:r w:rsidR="31B8604E" w:rsidRPr="5550D510">
              <w:rPr>
                <w:b/>
                <w:bCs/>
              </w:rPr>
              <w:t xml:space="preserve"> </w:t>
            </w:r>
            <w:r w:rsidR="31B8604E">
              <w:t>La confluence de ces actions permettr</w:t>
            </w:r>
            <w:r w:rsidR="50E030A1">
              <w:t>a</w:t>
            </w:r>
            <w:r w:rsidR="31B8604E">
              <w:t xml:space="preserve"> d’accélérer cette dynamique</w:t>
            </w:r>
            <w:r w:rsidR="3E5D8F3D">
              <w:t xml:space="preserve"> et de démontrer les liens existants entre l’intégration régionale et l’utilisation des nouvelles technologies et de l’innovation</w:t>
            </w:r>
            <w:r w:rsidR="00F315F2">
              <w:t xml:space="preserve"> </w:t>
            </w:r>
          </w:p>
          <w:p w14:paraId="24B5F0E5" w14:textId="25D0F778" w:rsidR="009277EE" w:rsidRPr="00423E37" w:rsidRDefault="00F315F2" w:rsidP="00FB5D98">
            <w:pPr>
              <w:pStyle w:val="Paragraphedeliste"/>
              <w:numPr>
                <w:ilvl w:val="0"/>
                <w:numId w:val="4"/>
              </w:numPr>
              <w:spacing w:after="0"/>
            </w:pPr>
            <w:r>
              <w:t>Contribution à la formalisation du secteur informel :</w:t>
            </w:r>
            <w:r w:rsidRPr="00F315F2">
              <w:rPr>
                <w:color w:val="000000" w:themeColor="text1"/>
                <w:shd w:val="clear" w:color="auto" w:fill="E6E6E6"/>
              </w:rPr>
              <w:t xml:space="preserve"> la</w:t>
            </w:r>
            <w:r>
              <w:rPr>
                <w:color w:val="000000" w:themeColor="text1"/>
                <w:shd w:val="clear" w:color="auto" w:fill="E6E6E6"/>
              </w:rPr>
              <w:t xml:space="preserve"> préparation du plan d’actions de la stratégie d’intégration que le TRAC 2 </w:t>
            </w:r>
            <w:r w:rsidR="00FB5D98">
              <w:rPr>
                <w:color w:val="000000" w:themeColor="text1"/>
                <w:shd w:val="clear" w:color="auto" w:fill="E6E6E6"/>
              </w:rPr>
              <w:t xml:space="preserve">appuie </w:t>
            </w:r>
            <w:r>
              <w:rPr>
                <w:color w:val="000000" w:themeColor="text1"/>
                <w:shd w:val="clear" w:color="auto" w:fill="E6E6E6"/>
              </w:rPr>
              <w:t xml:space="preserve">devrait contribuer </w:t>
            </w:r>
            <w:r w:rsidRPr="00F315F2">
              <w:rPr>
                <w:color w:val="000000" w:themeColor="text1"/>
                <w:shd w:val="clear" w:color="auto" w:fill="E6E6E6"/>
              </w:rPr>
              <w:t xml:space="preserve"> </w:t>
            </w:r>
            <w:r w:rsidR="00FB5D98">
              <w:rPr>
                <w:color w:val="000000" w:themeColor="text1"/>
                <w:shd w:val="clear" w:color="auto" w:fill="E6E6E6"/>
              </w:rPr>
              <w:t xml:space="preserve">à la </w:t>
            </w:r>
            <w:r w:rsidRPr="00F315F2">
              <w:rPr>
                <w:color w:val="000000" w:themeColor="text1"/>
                <w:shd w:val="clear" w:color="auto" w:fill="E6E6E6"/>
              </w:rPr>
              <w:t>formalisation progressive du secteur informel</w:t>
            </w:r>
            <w:r>
              <w:rPr>
                <w:color w:val="000000" w:themeColor="text1"/>
                <w:shd w:val="clear" w:color="auto" w:fill="E6E6E6"/>
              </w:rPr>
              <w:t xml:space="preserve"> grâce à l’amélioration du climat des affaires</w:t>
            </w:r>
            <w:r w:rsidR="0024280E">
              <w:rPr>
                <w:color w:val="000000" w:themeColor="text1"/>
                <w:shd w:val="clear" w:color="auto" w:fill="E6E6E6"/>
              </w:rPr>
              <w:t xml:space="preserve"> qui sera une composante de ce plan d’actions. </w:t>
            </w:r>
          </w:p>
        </w:tc>
      </w:tr>
      <w:tr w:rsidR="009277EE" w:rsidRPr="00E5571E" w14:paraId="6688BBC1" w14:textId="77777777" w:rsidTr="69A8F6F5">
        <w:trPr>
          <w:trHeight w:val="675"/>
          <w:jc w:val="center"/>
        </w:trPr>
        <w:tc>
          <w:tcPr>
            <w:tcW w:w="0" w:type="auto"/>
            <w:tcBorders>
              <w:top w:val="single" w:sz="8" w:space="0" w:color="A6C2B2"/>
              <w:left w:val="single" w:sz="12" w:space="0" w:color="F2F2F2" w:themeColor="background1" w:themeShade="F2"/>
              <w:bottom w:val="single" w:sz="12" w:space="0" w:color="F2F2F2" w:themeColor="background1" w:themeShade="F2"/>
              <w:right w:val="single" w:sz="12" w:space="0" w:color="F2F2F2" w:themeColor="background1" w:themeShade="F2"/>
            </w:tcBorders>
            <w:tcMar>
              <w:top w:w="60" w:type="dxa"/>
              <w:left w:w="330" w:type="dxa"/>
              <w:bottom w:w="60" w:type="dxa"/>
              <w:right w:w="330" w:type="dxa"/>
            </w:tcMar>
            <w:vAlign w:val="center"/>
            <w:hideMark/>
          </w:tcPr>
          <w:p w14:paraId="02699A59" w14:textId="26039256" w:rsidR="009277EE" w:rsidRPr="00AF6789" w:rsidRDefault="009277EE" w:rsidP="009277EE">
            <w:proofErr w:type="spellStart"/>
            <w:r w:rsidRPr="00AF6789">
              <w:rPr>
                <w:b/>
                <w:bCs/>
              </w:rPr>
              <w:lastRenderedPageBreak/>
              <w:t>Indicators</w:t>
            </w:r>
            <w:proofErr w:type="spellEnd"/>
            <w:r w:rsidRPr="00AF6789">
              <w:rPr>
                <w:b/>
                <w:bCs/>
              </w:rPr>
              <w:t xml:space="preserve"> of </w:t>
            </w:r>
            <w:proofErr w:type="spellStart"/>
            <w:r w:rsidRPr="00AF6789">
              <w:rPr>
                <w:b/>
                <w:bCs/>
              </w:rPr>
              <w:t>Success</w:t>
            </w:r>
            <w:proofErr w:type="spellEnd"/>
            <w:r w:rsidR="00AF6789" w:rsidRPr="00AF6789">
              <w:rPr>
                <w:b/>
                <w:bCs/>
              </w:rPr>
              <w:t xml:space="preserve"> </w:t>
            </w:r>
          </w:p>
          <w:tbl>
            <w:tblPr>
              <w:tblW w:w="14220" w:type="dxa"/>
              <w:tblCellMar>
                <w:top w:w="15" w:type="dxa"/>
                <w:left w:w="15" w:type="dxa"/>
                <w:bottom w:w="15" w:type="dxa"/>
                <w:right w:w="15" w:type="dxa"/>
              </w:tblCellMar>
              <w:tblLook w:val="04A0" w:firstRow="1" w:lastRow="0" w:firstColumn="1" w:lastColumn="0" w:noHBand="0" w:noVBand="1"/>
            </w:tblPr>
            <w:tblGrid>
              <w:gridCol w:w="14220"/>
            </w:tblGrid>
            <w:tr w:rsidR="009277EE" w:rsidRPr="00FB4D25" w14:paraId="13BB188E" w14:textId="77777777" w:rsidTr="008102A6">
              <w:trPr>
                <w:trHeight w:val="555"/>
              </w:trPr>
              <w:tc>
                <w:tcPr>
                  <w:tcW w:w="0" w:type="auto"/>
                  <w:tcBorders>
                    <w:top w:val="nil"/>
                    <w:left w:val="nil"/>
                    <w:bottom w:val="nil"/>
                    <w:right w:val="nil"/>
                  </w:tcBorders>
                  <w:tcMar>
                    <w:top w:w="15" w:type="dxa"/>
                    <w:left w:w="180" w:type="dxa"/>
                    <w:bottom w:w="15" w:type="dxa"/>
                    <w:right w:w="15" w:type="dxa"/>
                  </w:tcMar>
                  <w:vAlign w:val="center"/>
                  <w:hideMark/>
                </w:tcPr>
                <w:p w14:paraId="28530387" w14:textId="77777777" w:rsidR="009277EE" w:rsidRPr="00E5571E" w:rsidRDefault="009277EE" w:rsidP="009277EE">
                  <w:pPr>
                    <w:rPr>
                      <w:lang w:val="en-US"/>
                    </w:rPr>
                  </w:pPr>
                  <w:r w:rsidRPr="00E5571E">
                    <w:rPr>
                      <w:i/>
                      <w:iCs/>
                      <w:lang w:val="en-US"/>
                    </w:rPr>
                    <w:t>The submitting CO should identify specific indicators for each result area, being as specific as possible. Each indicator should include a baseline (if available), target, source of data, and timeline.</w:t>
                  </w:r>
                </w:p>
              </w:tc>
            </w:tr>
          </w:tbl>
          <w:p w14:paraId="0BA9C725" w14:textId="77777777" w:rsidR="009277EE" w:rsidRPr="00E5571E" w:rsidRDefault="009277EE" w:rsidP="009277EE">
            <w:pPr>
              <w:numPr>
                <w:ilvl w:val="0"/>
                <w:numId w:val="8"/>
              </w:numPr>
              <w:rPr>
                <w:vanish/>
                <w:lang w:val="en-US"/>
              </w:rPr>
            </w:pPr>
          </w:p>
          <w:p w14:paraId="0B499BD4" w14:textId="77777777" w:rsidR="009277EE" w:rsidRPr="00E5571E" w:rsidRDefault="009277EE" w:rsidP="009277EE">
            <w:pPr>
              <w:numPr>
                <w:ilvl w:val="0"/>
                <w:numId w:val="8"/>
              </w:numPr>
              <w:rPr>
                <w:lang w:val="en-US"/>
              </w:rPr>
            </w:pPr>
          </w:p>
          <w:tbl>
            <w:tblPr>
              <w:tblW w:w="14220" w:type="dxa"/>
              <w:tblInd w:w="720" w:type="dxa"/>
              <w:tblLook w:val="04A0" w:firstRow="1" w:lastRow="0" w:firstColumn="1" w:lastColumn="0" w:noHBand="0" w:noVBand="1"/>
            </w:tblPr>
            <w:tblGrid>
              <w:gridCol w:w="13988"/>
              <w:gridCol w:w="222"/>
              <w:gridCol w:w="10"/>
            </w:tblGrid>
            <w:tr w:rsidR="5550D510" w14:paraId="71EFD077" w14:textId="77777777" w:rsidTr="00E03305">
              <w:trPr>
                <w:gridAfter w:val="1"/>
                <w:wAfter w:w="10" w:type="dxa"/>
              </w:trPr>
              <w:tc>
                <w:tcPr>
                  <w:tcW w:w="13988" w:type="dxa"/>
                  <w:tcBorders>
                    <w:top w:val="single" w:sz="8" w:space="0" w:color="F2F2F2" w:themeColor="background1" w:themeShade="F2"/>
                    <w:left w:val="nil"/>
                    <w:bottom w:val="nil"/>
                    <w:right w:val="nil"/>
                  </w:tcBorders>
                  <w:vAlign w:val="center"/>
                </w:tcPr>
                <w:p w14:paraId="0B9F2964" w14:textId="429ED5BA" w:rsidR="5550D510" w:rsidRPr="00435BAD" w:rsidRDefault="5550D510" w:rsidP="5550D510">
                  <w:r w:rsidRPr="00435BAD">
                    <w:t xml:space="preserve">Indicator: </w:t>
                  </w:r>
                  <w:r w:rsidR="4745E0E5" w:rsidRPr="00435BAD">
                    <w:t>nombre d’entreprises gérées par des jeunes ou des femmes</w:t>
                  </w:r>
                  <w:r w:rsidR="00592A55">
                    <w:t xml:space="preserve"> qui ont</w:t>
                  </w:r>
                  <w:r w:rsidR="4745E0E5" w:rsidRPr="00435BAD">
                    <w:t xml:space="preserve"> amélioré </w:t>
                  </w:r>
                  <w:r w:rsidR="00435BAD">
                    <w:t>leurs revenus</w:t>
                  </w:r>
                  <w:r w:rsidR="4745E0E5" w:rsidRPr="00435BAD">
                    <w:t xml:space="preserve"> en utilisant </w:t>
                  </w:r>
                  <w:r w:rsidR="00592A55">
                    <w:t>des outils numériques</w:t>
                  </w:r>
                  <w:r w:rsidR="4745E0E5" w:rsidRPr="00435BAD">
                    <w:t xml:space="preserve"> </w:t>
                  </w:r>
                  <w:r w:rsidR="00592A55">
                    <w:t>(</w:t>
                  </w:r>
                  <w:r w:rsidR="4745E0E5" w:rsidRPr="00435BAD">
                    <w:t>e-commerce</w:t>
                  </w:r>
                  <w:r w:rsidR="00592A55">
                    <w:t>)</w:t>
                  </w:r>
                </w:p>
              </w:tc>
              <w:tc>
                <w:tcPr>
                  <w:tcW w:w="222" w:type="dxa"/>
                  <w:tcBorders>
                    <w:top w:val="single" w:sz="8" w:space="0" w:color="F2F2F2" w:themeColor="background1" w:themeShade="F2"/>
                    <w:left w:val="nil"/>
                    <w:bottom w:val="nil"/>
                    <w:right w:val="single" w:sz="8" w:space="0" w:color="F2F2F2" w:themeColor="background1" w:themeShade="F2"/>
                  </w:tcBorders>
                  <w:vAlign w:val="center"/>
                </w:tcPr>
                <w:p w14:paraId="3308E251" w14:textId="77777777" w:rsidR="5550D510" w:rsidRDefault="5550D510" w:rsidP="5550D510">
                  <w:pPr>
                    <w:rPr>
                      <w:highlight w:val="yellow"/>
                    </w:rPr>
                  </w:pPr>
                  <w:r w:rsidRPr="5550D510">
                    <w:rPr>
                      <w:highlight w:val="yellow"/>
                    </w:rPr>
                    <w:t>​</w:t>
                  </w:r>
                </w:p>
              </w:tc>
            </w:tr>
            <w:tr w:rsidR="5550D510" w14:paraId="5C7F7C1A" w14:textId="77777777" w:rsidTr="00E03305">
              <w:trPr>
                <w:gridAfter w:val="1"/>
                <w:wAfter w:w="10" w:type="dxa"/>
                <w:trHeight w:val="690"/>
              </w:trPr>
              <w:tc>
                <w:tcPr>
                  <w:tcW w:w="13988" w:type="dxa"/>
                  <w:tcBorders>
                    <w:top w:val="nil"/>
                    <w:left w:val="single" w:sz="8" w:space="0" w:color="F2F2F2" w:themeColor="background1" w:themeShade="F2"/>
                    <w:bottom w:val="nil"/>
                    <w:right w:val="nil"/>
                  </w:tcBorders>
                  <w:vAlign w:val="center"/>
                </w:tcPr>
                <w:p w14:paraId="724B0398" w14:textId="679A20C2" w:rsidR="5550D510" w:rsidRPr="00435BAD" w:rsidRDefault="5550D510" w:rsidP="5550D510">
                  <w:r w:rsidRPr="00435BAD">
                    <w:t xml:space="preserve">Baseline: </w:t>
                  </w:r>
                  <w:r w:rsidR="00592A55">
                    <w:t xml:space="preserve"> 0</w:t>
                  </w:r>
                </w:p>
              </w:tc>
              <w:tc>
                <w:tcPr>
                  <w:tcW w:w="222" w:type="dxa"/>
                  <w:tcBorders>
                    <w:top w:val="nil"/>
                    <w:left w:val="nil"/>
                    <w:bottom w:val="nil"/>
                    <w:right w:val="single" w:sz="8" w:space="0" w:color="F2F2F2" w:themeColor="background1" w:themeShade="F2"/>
                  </w:tcBorders>
                  <w:vAlign w:val="center"/>
                </w:tcPr>
                <w:p w14:paraId="6471F1F3" w14:textId="77777777" w:rsidR="5550D510" w:rsidRDefault="5550D510" w:rsidP="5550D510">
                  <w:pPr>
                    <w:rPr>
                      <w:highlight w:val="yellow"/>
                    </w:rPr>
                  </w:pPr>
                  <w:r w:rsidRPr="5550D510">
                    <w:rPr>
                      <w:highlight w:val="yellow"/>
                    </w:rPr>
                    <w:t>​</w:t>
                  </w:r>
                </w:p>
              </w:tc>
            </w:tr>
            <w:tr w:rsidR="5550D510" w14:paraId="51E6D21B" w14:textId="77777777" w:rsidTr="00E03305">
              <w:trPr>
                <w:gridAfter w:val="1"/>
                <w:wAfter w:w="10" w:type="dxa"/>
              </w:trPr>
              <w:tc>
                <w:tcPr>
                  <w:tcW w:w="13988" w:type="dxa"/>
                  <w:tcBorders>
                    <w:top w:val="nil"/>
                    <w:left w:val="single" w:sz="8" w:space="0" w:color="F2F2F2" w:themeColor="background1" w:themeShade="F2"/>
                    <w:bottom w:val="nil"/>
                    <w:right w:val="nil"/>
                  </w:tcBorders>
                  <w:vAlign w:val="center"/>
                </w:tcPr>
                <w:p w14:paraId="0E4053CF" w14:textId="344C6D9B" w:rsidR="5550D510" w:rsidRPr="00435BAD" w:rsidRDefault="5550D510" w:rsidP="5550D510">
                  <w:r w:rsidRPr="00435BAD">
                    <w:t xml:space="preserve">Target: </w:t>
                  </w:r>
                  <w:r w:rsidR="63A72AD8" w:rsidRPr="00435BAD">
                    <w:t xml:space="preserve">300 jeunes et femmes </w:t>
                  </w:r>
                  <w:r w:rsidR="00592A55">
                    <w:t>ont vu leurs revenus amélioré en utilisant des outils numériques</w:t>
                  </w:r>
                  <w:r w:rsidR="63A72AD8" w:rsidRPr="00435BAD">
                    <w:t xml:space="preserve"> pour la vente de leurs produits</w:t>
                  </w:r>
                  <w:r w:rsidR="00592A55">
                    <w:t xml:space="preserve"> et/ou services</w:t>
                  </w:r>
                </w:p>
              </w:tc>
              <w:tc>
                <w:tcPr>
                  <w:tcW w:w="222" w:type="dxa"/>
                  <w:tcBorders>
                    <w:top w:val="nil"/>
                    <w:left w:val="nil"/>
                    <w:bottom w:val="nil"/>
                    <w:right w:val="single" w:sz="8" w:space="0" w:color="F2F2F2" w:themeColor="background1" w:themeShade="F2"/>
                  </w:tcBorders>
                  <w:vAlign w:val="center"/>
                </w:tcPr>
                <w:p w14:paraId="3EB6F69A" w14:textId="77777777" w:rsidR="5550D510" w:rsidRDefault="5550D510" w:rsidP="5550D510">
                  <w:pPr>
                    <w:rPr>
                      <w:highlight w:val="yellow"/>
                    </w:rPr>
                  </w:pPr>
                  <w:r w:rsidRPr="5550D510">
                    <w:rPr>
                      <w:highlight w:val="yellow"/>
                    </w:rPr>
                    <w:t>​</w:t>
                  </w:r>
                </w:p>
              </w:tc>
            </w:tr>
            <w:tr w:rsidR="5550D510" w14:paraId="7A17E6FA" w14:textId="77777777" w:rsidTr="00E03305">
              <w:trPr>
                <w:gridAfter w:val="1"/>
                <w:wAfter w:w="10" w:type="dxa"/>
              </w:trPr>
              <w:tc>
                <w:tcPr>
                  <w:tcW w:w="13988" w:type="dxa"/>
                  <w:tcBorders>
                    <w:top w:val="nil"/>
                    <w:left w:val="single" w:sz="8" w:space="0" w:color="F2F2F2" w:themeColor="background1" w:themeShade="F2"/>
                    <w:bottom w:val="nil"/>
                    <w:right w:val="nil"/>
                  </w:tcBorders>
                  <w:vAlign w:val="center"/>
                </w:tcPr>
                <w:p w14:paraId="73E75E60" w14:textId="179E4657" w:rsidR="5550D510" w:rsidRPr="00435BAD" w:rsidRDefault="5550D510" w:rsidP="5550D510">
                  <w:r w:rsidRPr="00435BAD">
                    <w:t xml:space="preserve">Source of data: </w:t>
                  </w:r>
                  <w:r w:rsidR="00592A55">
                    <w:t>formulaire auprès</w:t>
                  </w:r>
                  <w:r w:rsidR="00435BAD" w:rsidRPr="00435BAD">
                    <w:t xml:space="preserve"> des </w:t>
                  </w:r>
                  <w:r w:rsidR="00435BAD">
                    <w:t xml:space="preserve">entrepreneurs appuyés dans le cadre de ce projet </w:t>
                  </w:r>
                </w:p>
              </w:tc>
              <w:tc>
                <w:tcPr>
                  <w:tcW w:w="222" w:type="dxa"/>
                  <w:tcBorders>
                    <w:top w:val="nil"/>
                    <w:left w:val="nil"/>
                    <w:bottom w:val="nil"/>
                    <w:right w:val="single" w:sz="8" w:space="0" w:color="F2F2F2" w:themeColor="background1" w:themeShade="F2"/>
                  </w:tcBorders>
                  <w:vAlign w:val="center"/>
                </w:tcPr>
                <w:p w14:paraId="49D596EE" w14:textId="77777777" w:rsidR="5550D510" w:rsidRDefault="5550D510" w:rsidP="5550D510">
                  <w:pPr>
                    <w:rPr>
                      <w:highlight w:val="yellow"/>
                    </w:rPr>
                  </w:pPr>
                  <w:r w:rsidRPr="5550D510">
                    <w:rPr>
                      <w:highlight w:val="yellow"/>
                    </w:rPr>
                    <w:t>​</w:t>
                  </w:r>
                </w:p>
              </w:tc>
            </w:tr>
            <w:tr w:rsidR="00E22E2C" w14:paraId="47DDD22E" w14:textId="77777777" w:rsidTr="00E03305">
              <w:trPr>
                <w:gridAfter w:val="1"/>
                <w:wAfter w:w="10" w:type="dxa"/>
              </w:trPr>
              <w:tc>
                <w:tcPr>
                  <w:tcW w:w="13988" w:type="dxa"/>
                  <w:tcBorders>
                    <w:top w:val="nil"/>
                    <w:left w:val="single" w:sz="8" w:space="0" w:color="F2F2F2" w:themeColor="background1" w:themeShade="F2"/>
                    <w:bottom w:val="single" w:sz="8" w:space="0" w:color="F2F2F2" w:themeColor="background1" w:themeShade="F2"/>
                    <w:right w:val="nil"/>
                  </w:tcBorders>
                  <w:vAlign w:val="center"/>
                </w:tcPr>
                <w:p w14:paraId="4B85E829" w14:textId="2DFD3A38" w:rsidR="00E22E2C" w:rsidRPr="00E03305" w:rsidRDefault="00E22E2C" w:rsidP="00E22E2C">
                  <w:r w:rsidRPr="00E03305">
                    <w:t xml:space="preserve">Indicator: nombre d’entreprises gérées par des jeunes ou des femmes qui ont accédé à des marchés des pays africains </w:t>
                  </w:r>
                </w:p>
              </w:tc>
              <w:tc>
                <w:tcPr>
                  <w:tcW w:w="222" w:type="dxa"/>
                  <w:tcBorders>
                    <w:top w:val="nil"/>
                    <w:left w:val="nil"/>
                    <w:bottom w:val="single" w:sz="8" w:space="0" w:color="F2F2F2" w:themeColor="background1" w:themeShade="F2"/>
                    <w:right w:val="single" w:sz="8" w:space="0" w:color="F2F2F2" w:themeColor="background1" w:themeShade="F2"/>
                  </w:tcBorders>
                  <w:vAlign w:val="center"/>
                </w:tcPr>
                <w:p w14:paraId="70E4DB11" w14:textId="77777777" w:rsidR="00E22E2C" w:rsidRDefault="00E22E2C" w:rsidP="00E22E2C">
                  <w:r w:rsidRPr="5550D510">
                    <w:rPr>
                      <w:highlight w:val="yellow"/>
                    </w:rPr>
                    <w:t>​</w:t>
                  </w:r>
                </w:p>
              </w:tc>
            </w:tr>
            <w:tr w:rsidR="002B0CB0" w14:paraId="0E0F9CF2" w14:textId="77777777" w:rsidTr="00E03305">
              <w:tc>
                <w:tcPr>
                  <w:tcW w:w="13988" w:type="dxa"/>
                  <w:tcBorders>
                    <w:top w:val="nil"/>
                    <w:left w:val="single" w:sz="8" w:space="0" w:color="F2F2F2" w:themeColor="background1" w:themeShade="F2"/>
                    <w:bottom w:val="single" w:sz="8" w:space="0" w:color="F2F2F2" w:themeColor="background1" w:themeShade="F2"/>
                    <w:right w:val="nil"/>
                  </w:tcBorders>
                  <w:vAlign w:val="center"/>
                </w:tcPr>
                <w:p w14:paraId="3928AF19" w14:textId="212925D5" w:rsidR="00E22E2C" w:rsidRPr="00E03305" w:rsidRDefault="00E22E2C" w:rsidP="00E22E2C">
                  <w:r w:rsidRPr="00E03305">
                    <w:t>Baseline:  0</w:t>
                  </w:r>
                </w:p>
              </w:tc>
              <w:tc>
                <w:tcPr>
                  <w:tcW w:w="232" w:type="dxa"/>
                  <w:gridSpan w:val="2"/>
                  <w:tcBorders>
                    <w:top w:val="nil"/>
                    <w:left w:val="nil"/>
                    <w:bottom w:val="single" w:sz="8" w:space="0" w:color="F2F2F2" w:themeColor="background1" w:themeShade="F2"/>
                    <w:right w:val="single" w:sz="8" w:space="0" w:color="F2F2F2" w:themeColor="background1" w:themeShade="F2"/>
                  </w:tcBorders>
                  <w:vAlign w:val="center"/>
                </w:tcPr>
                <w:p w14:paraId="68D2142B" w14:textId="77777777" w:rsidR="00E22E2C" w:rsidRPr="5550D510" w:rsidRDefault="00E22E2C" w:rsidP="00E22E2C">
                  <w:pPr>
                    <w:rPr>
                      <w:highlight w:val="yellow"/>
                    </w:rPr>
                  </w:pPr>
                </w:p>
              </w:tc>
            </w:tr>
            <w:tr w:rsidR="002B0CB0" w14:paraId="5DB0C078" w14:textId="77777777" w:rsidTr="00E03305">
              <w:tc>
                <w:tcPr>
                  <w:tcW w:w="13988" w:type="dxa"/>
                  <w:tcBorders>
                    <w:top w:val="nil"/>
                    <w:left w:val="single" w:sz="8" w:space="0" w:color="F2F2F2" w:themeColor="background1" w:themeShade="F2"/>
                    <w:bottom w:val="single" w:sz="8" w:space="0" w:color="F2F2F2" w:themeColor="background1" w:themeShade="F2"/>
                    <w:right w:val="nil"/>
                  </w:tcBorders>
                  <w:vAlign w:val="center"/>
                </w:tcPr>
                <w:p w14:paraId="5FF71525" w14:textId="3B1ED8EF" w:rsidR="00E22E2C" w:rsidRPr="00E03305" w:rsidRDefault="00E22E2C" w:rsidP="00E22E2C">
                  <w:r w:rsidRPr="00E03305">
                    <w:t>Target: au moins 20 jeunes et femmes entrepreneurs ont accédé à des marchés des pays africains</w:t>
                  </w:r>
                </w:p>
              </w:tc>
              <w:tc>
                <w:tcPr>
                  <w:tcW w:w="232" w:type="dxa"/>
                  <w:gridSpan w:val="2"/>
                  <w:tcBorders>
                    <w:top w:val="nil"/>
                    <w:left w:val="nil"/>
                    <w:bottom w:val="single" w:sz="8" w:space="0" w:color="F2F2F2" w:themeColor="background1" w:themeShade="F2"/>
                    <w:right w:val="single" w:sz="8" w:space="0" w:color="F2F2F2" w:themeColor="background1" w:themeShade="F2"/>
                  </w:tcBorders>
                  <w:vAlign w:val="center"/>
                </w:tcPr>
                <w:p w14:paraId="24F32155" w14:textId="77777777" w:rsidR="00E22E2C" w:rsidRPr="5550D510" w:rsidRDefault="00E22E2C" w:rsidP="00E22E2C">
                  <w:pPr>
                    <w:rPr>
                      <w:highlight w:val="yellow"/>
                    </w:rPr>
                  </w:pPr>
                </w:p>
              </w:tc>
            </w:tr>
            <w:tr w:rsidR="002B0CB0" w14:paraId="77272562" w14:textId="77777777" w:rsidTr="00E03305">
              <w:tc>
                <w:tcPr>
                  <w:tcW w:w="13988" w:type="dxa"/>
                  <w:tcBorders>
                    <w:top w:val="nil"/>
                    <w:left w:val="single" w:sz="8" w:space="0" w:color="F2F2F2" w:themeColor="background1" w:themeShade="F2"/>
                    <w:bottom w:val="single" w:sz="8" w:space="0" w:color="F2F2F2" w:themeColor="background1" w:themeShade="F2"/>
                    <w:right w:val="nil"/>
                  </w:tcBorders>
                  <w:vAlign w:val="center"/>
                </w:tcPr>
                <w:p w14:paraId="3019FEE3" w14:textId="7A3684CB" w:rsidR="00E22E2C" w:rsidRPr="00E03305" w:rsidRDefault="00E22E2C" w:rsidP="00E22E2C">
                  <w:r w:rsidRPr="00E03305">
                    <w:t xml:space="preserve">Source of data: formulaire auprès des entrepreneurs appuyés dans le cadre de ce projet </w:t>
                  </w:r>
                </w:p>
              </w:tc>
              <w:tc>
                <w:tcPr>
                  <w:tcW w:w="232" w:type="dxa"/>
                  <w:gridSpan w:val="2"/>
                  <w:tcBorders>
                    <w:top w:val="nil"/>
                    <w:left w:val="nil"/>
                    <w:bottom w:val="single" w:sz="8" w:space="0" w:color="F2F2F2" w:themeColor="background1" w:themeShade="F2"/>
                    <w:right w:val="single" w:sz="8" w:space="0" w:color="F2F2F2" w:themeColor="background1" w:themeShade="F2"/>
                  </w:tcBorders>
                  <w:vAlign w:val="center"/>
                </w:tcPr>
                <w:p w14:paraId="70541D08" w14:textId="77777777" w:rsidR="00E22E2C" w:rsidRPr="5550D510" w:rsidRDefault="00E22E2C" w:rsidP="00E22E2C">
                  <w:pPr>
                    <w:rPr>
                      <w:highlight w:val="yellow"/>
                    </w:rPr>
                  </w:pPr>
                </w:p>
              </w:tc>
            </w:tr>
            <w:tr w:rsidR="005E1901" w14:paraId="76B71909" w14:textId="77777777" w:rsidTr="00E03305">
              <w:trPr>
                <w:gridAfter w:val="1"/>
                <w:wAfter w:w="10" w:type="dxa"/>
              </w:trPr>
              <w:tc>
                <w:tcPr>
                  <w:tcW w:w="13988" w:type="dxa"/>
                  <w:tcBorders>
                    <w:top w:val="nil"/>
                    <w:left w:val="single" w:sz="8" w:space="0" w:color="F2F2F2" w:themeColor="background1" w:themeShade="F2"/>
                    <w:bottom w:val="single" w:sz="8" w:space="0" w:color="F2F2F2" w:themeColor="background1" w:themeShade="F2"/>
                    <w:right w:val="nil"/>
                  </w:tcBorders>
                  <w:vAlign w:val="center"/>
                </w:tcPr>
                <w:p w14:paraId="6297173E" w14:textId="2D0FF18D" w:rsidR="00E22E2C" w:rsidRPr="00E03305" w:rsidRDefault="00E22E2C" w:rsidP="00E22E2C">
                  <w:r w:rsidRPr="00E03305">
                    <w:t xml:space="preserve">Timeline for </w:t>
                  </w:r>
                  <w:proofErr w:type="spellStart"/>
                  <w:r w:rsidRPr="00E03305">
                    <w:t>target</w:t>
                  </w:r>
                  <w:proofErr w:type="spellEnd"/>
                  <w:r w:rsidRPr="00E03305">
                    <w:t>: décembre 2022</w:t>
                  </w:r>
                </w:p>
                <w:p w14:paraId="57B2812B" w14:textId="77777777" w:rsidR="0013283D" w:rsidRPr="00E03305" w:rsidRDefault="0013283D" w:rsidP="00E22E2C"/>
                <w:p w14:paraId="7D7BCE27" w14:textId="37DC80EB" w:rsidR="00E22E2C" w:rsidRPr="00E03305" w:rsidRDefault="0013283D" w:rsidP="0013283D">
                  <w:pPr>
                    <w:rPr>
                      <w:b/>
                      <w:bCs/>
                    </w:rPr>
                  </w:pPr>
                  <w:r w:rsidRPr="00E03305">
                    <w:rPr>
                      <w:b/>
                      <w:bCs/>
                    </w:rPr>
                    <w:t>Indicateurs en lien avec le CPD 2022-2026 :</w:t>
                  </w:r>
                </w:p>
                <w:p w14:paraId="3138E580" w14:textId="77777777" w:rsidR="00FC0382" w:rsidRPr="00E03305" w:rsidRDefault="00FC0382" w:rsidP="00FC0382">
                  <w:r w:rsidRPr="00E03305">
                    <w:t xml:space="preserve">Indicateur 2.1.2 : Nombre de structures d’incubation spécialisées dans l’accompagnement de l’entrepreneuriat féminin, jeune et innovant </w:t>
                  </w:r>
                </w:p>
                <w:p w14:paraId="620873FA" w14:textId="77777777" w:rsidR="00FC0382" w:rsidRPr="00E03305" w:rsidRDefault="00FC0382" w:rsidP="00FC0382">
                  <w:r w:rsidRPr="00E03305">
                    <w:t xml:space="preserve">Niveau de référence : 7 (2020) </w:t>
                  </w:r>
                </w:p>
                <w:p w14:paraId="796500B1" w14:textId="77777777" w:rsidR="00FC0382" w:rsidRPr="00E03305" w:rsidRDefault="00FC0382" w:rsidP="00FC0382">
                  <w:r w:rsidRPr="00E03305">
                    <w:t xml:space="preserve">Niveau cible : 14 </w:t>
                  </w:r>
                </w:p>
                <w:p w14:paraId="3949B993" w14:textId="77777777" w:rsidR="004806FA" w:rsidRPr="00E03305" w:rsidRDefault="00FC0382" w:rsidP="00FC0382">
                  <w:r w:rsidRPr="00E03305">
                    <w:t>Source des données : Rapport du PNUD</w:t>
                  </w:r>
                </w:p>
                <w:p w14:paraId="631F04D6" w14:textId="77777777" w:rsidR="0019637C" w:rsidRPr="00E03305" w:rsidRDefault="0019637C" w:rsidP="00FC0382"/>
                <w:p w14:paraId="7C200D0E" w14:textId="77777777" w:rsidR="0013283D" w:rsidRPr="00E03305" w:rsidRDefault="0019637C" w:rsidP="00FC0382">
                  <w:r w:rsidRPr="00E03305">
                    <w:t xml:space="preserve">Indicateur 2.3.3 : Nombre d’utilisateurs des outils et des espaces numériques de soutien aux chaînes de valeur agricoles, ventilé par sexe et par âge Niveau de référence : 0 </w:t>
                  </w:r>
                </w:p>
                <w:p w14:paraId="316F51A3" w14:textId="77777777" w:rsidR="0013283D" w:rsidRPr="00E03305" w:rsidRDefault="0019637C" w:rsidP="00FC0382">
                  <w:r w:rsidRPr="00E03305">
                    <w:t xml:space="preserve">Niveau cible : 40 000, dont 20 000 femmes et 30 000 jeunes </w:t>
                  </w:r>
                </w:p>
                <w:p w14:paraId="357BCF7F" w14:textId="4F63598D" w:rsidR="0019637C" w:rsidRPr="00E03305" w:rsidRDefault="0019637C" w:rsidP="00FC0382">
                  <w:r w:rsidRPr="00E03305">
                    <w:t>Source des données : Centres ruraux de développement économique, Union des</w:t>
                  </w:r>
                </w:p>
              </w:tc>
              <w:tc>
                <w:tcPr>
                  <w:tcW w:w="222" w:type="dxa"/>
                  <w:tcBorders>
                    <w:top w:val="nil"/>
                    <w:left w:val="nil"/>
                    <w:bottom w:val="single" w:sz="8" w:space="0" w:color="F2F2F2" w:themeColor="background1" w:themeShade="F2"/>
                    <w:right w:val="single" w:sz="8" w:space="0" w:color="F2F2F2" w:themeColor="background1" w:themeShade="F2"/>
                  </w:tcBorders>
                  <w:vAlign w:val="center"/>
                </w:tcPr>
                <w:p w14:paraId="69D3FC3F" w14:textId="77777777" w:rsidR="00E22E2C" w:rsidRPr="5550D510" w:rsidRDefault="00E22E2C" w:rsidP="00E22E2C">
                  <w:pPr>
                    <w:rPr>
                      <w:highlight w:val="yellow"/>
                    </w:rPr>
                  </w:pPr>
                </w:p>
              </w:tc>
            </w:tr>
          </w:tbl>
          <w:p w14:paraId="05104468" w14:textId="332BD6EB" w:rsidR="009277EE" w:rsidRPr="00E5571E" w:rsidRDefault="009277EE" w:rsidP="5550D510">
            <w:pPr>
              <w:rPr>
                <w:vanish/>
              </w:rPr>
            </w:pPr>
          </w:p>
          <w:tbl>
            <w:tblPr>
              <w:tblW w:w="14025" w:type="dxa"/>
              <w:tblCellSpacing w:w="0" w:type="dxa"/>
              <w:tblCellMar>
                <w:left w:w="0" w:type="dxa"/>
                <w:right w:w="0" w:type="dxa"/>
              </w:tblCellMar>
              <w:tblLook w:val="04A0" w:firstRow="1" w:lastRow="0" w:firstColumn="1" w:lastColumn="0" w:noHBand="0" w:noVBand="1"/>
            </w:tblPr>
            <w:tblGrid>
              <w:gridCol w:w="14346"/>
              <w:gridCol w:w="564"/>
            </w:tblGrid>
            <w:tr w:rsidR="009277EE" w:rsidRPr="00E5571E" w14:paraId="63B3D540" w14:textId="77777777" w:rsidTr="69A8F6F5">
              <w:trPr>
                <w:tblCellSpacing w:w="0" w:type="dxa"/>
              </w:trPr>
              <w:tc>
                <w:tcPr>
                  <w:tcW w:w="300" w:type="dxa"/>
                  <w:vAlign w:val="center"/>
                  <w:hideMark/>
                </w:tcPr>
                <w:p w14:paraId="5C1CF3F7" w14:textId="02469D55" w:rsidR="009277EE" w:rsidRPr="00E5571E" w:rsidRDefault="009277EE" w:rsidP="009277EE"/>
              </w:tc>
              <w:tc>
                <w:tcPr>
                  <w:tcW w:w="0" w:type="auto"/>
                  <w:vAlign w:val="center"/>
                  <w:hideMark/>
                </w:tcPr>
                <w:p w14:paraId="10A4DA63" w14:textId="77777777" w:rsidR="009A7E95" w:rsidRDefault="009A7E95" w:rsidP="009277EE">
                  <w:pPr>
                    <w:rPr>
                      <w:rStyle w:val="Lienhypertexte"/>
                    </w:rPr>
                  </w:pPr>
                </w:p>
                <w:p w14:paraId="7A1A2A16" w14:textId="77777777" w:rsidR="009A7E95" w:rsidRDefault="009A7E95" w:rsidP="009277EE">
                  <w:pPr>
                    <w:rPr>
                      <w:rStyle w:val="Lienhypertexte"/>
                    </w:rPr>
                  </w:pPr>
                </w:p>
                <w:p w14:paraId="5F4557D0" w14:textId="77777777" w:rsidR="009A7E95" w:rsidRDefault="009A7E95" w:rsidP="009277EE">
                  <w:pPr>
                    <w:rPr>
                      <w:rStyle w:val="Lienhypertexte"/>
                    </w:rPr>
                  </w:pPr>
                </w:p>
                <w:p w14:paraId="5DC82EAF" w14:textId="58CD83C7" w:rsidR="009A7E95" w:rsidRPr="00E5571E" w:rsidRDefault="009A7E95" w:rsidP="009277EE"/>
              </w:tc>
            </w:tr>
            <w:tr w:rsidR="00C8348D" w:rsidRPr="00E5571E" w14:paraId="4C38A2C6" w14:textId="77777777" w:rsidTr="69A8F6F5">
              <w:tblPrEx>
                <w:jc w:val="center"/>
                <w:tblCellSpacing w:w="0" w:type="nil"/>
                <w:tblCellMar>
                  <w:top w:w="15" w:type="dxa"/>
                  <w:left w:w="15" w:type="dxa"/>
                  <w:bottom w:w="15" w:type="dxa"/>
                  <w:right w:w="15" w:type="dxa"/>
                </w:tblCellMar>
              </w:tblPrEx>
              <w:trPr>
                <w:trHeight w:val="405"/>
                <w:jc w:val="center"/>
              </w:trPr>
              <w:tc>
                <w:tcPr>
                  <w:tcW w:w="0" w:type="auto"/>
                  <w:gridSpan w:val="2"/>
                  <w:tcBorders>
                    <w:top w:val="nil"/>
                    <w:left w:val="nil"/>
                    <w:bottom w:val="nil"/>
                    <w:right w:val="nil"/>
                  </w:tcBorders>
                  <w:shd w:val="clear" w:color="auto" w:fill="E1EAE5"/>
                  <w:tcMar>
                    <w:top w:w="30" w:type="dxa"/>
                    <w:left w:w="330" w:type="dxa"/>
                    <w:bottom w:w="30" w:type="dxa"/>
                    <w:right w:w="330" w:type="dxa"/>
                  </w:tcMar>
                  <w:vAlign w:val="center"/>
                  <w:hideMark/>
                </w:tcPr>
                <w:p w14:paraId="05DB6183" w14:textId="77777777" w:rsidR="00C8348D" w:rsidRPr="00E5571E" w:rsidRDefault="00C8348D" w:rsidP="008102A6">
                  <w:pPr>
                    <w:rPr>
                      <w:b/>
                      <w:bCs/>
                    </w:rPr>
                  </w:pPr>
                  <w:r w:rsidRPr="00E5571E">
                    <w:rPr>
                      <w:b/>
                      <w:bCs/>
                    </w:rPr>
                    <w:t>Implementation</w:t>
                  </w:r>
                </w:p>
              </w:tc>
            </w:tr>
            <w:tr w:rsidR="00C8348D" w:rsidRPr="00E5571E" w14:paraId="26E0F21B" w14:textId="77777777" w:rsidTr="69A8F6F5">
              <w:tblPrEx>
                <w:jc w:val="center"/>
                <w:tblCellSpacing w:w="0" w:type="nil"/>
                <w:tblCellMar>
                  <w:top w:w="15" w:type="dxa"/>
                  <w:left w:w="15" w:type="dxa"/>
                  <w:bottom w:w="15" w:type="dxa"/>
                  <w:right w:w="15" w:type="dxa"/>
                </w:tblCellMar>
              </w:tblPrEx>
              <w:trPr>
                <w:trHeight w:val="675"/>
                <w:jc w:val="center"/>
              </w:trPr>
              <w:tc>
                <w:tcPr>
                  <w:tcW w:w="0" w:type="auto"/>
                  <w:gridSpan w:val="2"/>
                  <w:tcBorders>
                    <w:top w:val="single" w:sz="8" w:space="0" w:color="A6C2B2"/>
                    <w:left w:val="single" w:sz="12" w:space="0" w:color="F2F2F2" w:themeColor="background1" w:themeShade="F2"/>
                    <w:bottom w:val="single" w:sz="12" w:space="0" w:color="F2F2F2" w:themeColor="background1" w:themeShade="F2"/>
                    <w:right w:val="single" w:sz="12" w:space="0" w:color="F2F2F2" w:themeColor="background1" w:themeShade="F2"/>
                  </w:tcBorders>
                  <w:tcMar>
                    <w:top w:w="60" w:type="dxa"/>
                    <w:left w:w="330" w:type="dxa"/>
                    <w:bottom w:w="60" w:type="dxa"/>
                    <w:right w:w="330" w:type="dxa"/>
                  </w:tcMar>
                  <w:vAlign w:val="center"/>
                  <w:hideMark/>
                </w:tcPr>
                <w:p w14:paraId="33C96B02" w14:textId="77777777" w:rsidR="00C8348D" w:rsidRPr="00E5571E" w:rsidRDefault="00C8348D" w:rsidP="008102A6">
                  <w:pPr>
                    <w:rPr>
                      <w:lang w:val="en-US"/>
                    </w:rPr>
                  </w:pPr>
                  <w:r w:rsidRPr="00E5571E">
                    <w:rPr>
                      <w:b/>
                      <w:bCs/>
                      <w:lang w:val="en-US"/>
                    </w:rPr>
                    <w:t>Key Activities, Costs, and Timeline:</w:t>
                  </w:r>
                </w:p>
                <w:p w14:paraId="511B06D7" w14:textId="77777777" w:rsidR="00C8348D" w:rsidRPr="00E5571E" w:rsidRDefault="00C8348D" w:rsidP="008102A6">
                  <w:pPr>
                    <w:rPr>
                      <w:lang w:val="en-US"/>
                    </w:rPr>
                  </w:pPr>
                  <w:r w:rsidRPr="00E5571E">
                    <w:rPr>
                      <w:i/>
                      <w:iCs/>
                      <w:lang w:val="en-US"/>
                    </w:rPr>
                    <w:t>The submitting CO should identify the implementation plan during 2018-19. The plan should include activities, costings, timeline – activities, estimated costs , and timeline.</w:t>
                  </w:r>
                </w:p>
                <w:tbl>
                  <w:tblPr>
                    <w:tblW w:w="14250" w:type="dxa"/>
                    <w:tblCellMar>
                      <w:top w:w="15" w:type="dxa"/>
                      <w:left w:w="15" w:type="dxa"/>
                      <w:bottom w:w="15" w:type="dxa"/>
                      <w:right w:w="15" w:type="dxa"/>
                    </w:tblCellMar>
                    <w:tblLook w:val="04A0" w:firstRow="1" w:lastRow="0" w:firstColumn="1" w:lastColumn="0" w:noHBand="0" w:noVBand="1"/>
                    <w:tblCaption w:val=""/>
                  </w:tblPr>
                  <w:tblGrid>
                    <w:gridCol w:w="1512"/>
                    <w:gridCol w:w="1798"/>
                    <w:gridCol w:w="9088"/>
                    <w:gridCol w:w="1169"/>
                    <w:gridCol w:w="683"/>
                  </w:tblGrid>
                  <w:tr w:rsidR="009A7E95" w:rsidRPr="00E5571E" w14:paraId="28B22609" w14:textId="77777777" w:rsidTr="69A8F6F5">
                    <w:trPr>
                      <w:tblHeader/>
                    </w:trPr>
                    <w:tc>
                      <w:tcPr>
                        <w:tcW w:w="1512" w:type="dxa"/>
                        <w:tcBorders>
                          <w:top w:val="nil"/>
                          <w:left w:val="nil"/>
                          <w:bottom w:val="nil"/>
                          <w:right w:val="nil"/>
                        </w:tcBorders>
                        <w:shd w:val="clear" w:color="auto" w:fill="F2F2F2" w:themeFill="background1" w:themeFillShade="F2"/>
                        <w:tcMar>
                          <w:top w:w="0" w:type="dxa"/>
                          <w:left w:w="0" w:type="dxa"/>
                          <w:bottom w:w="0" w:type="dxa"/>
                          <w:right w:w="0" w:type="dxa"/>
                        </w:tcMar>
                        <w:vAlign w:val="center"/>
                        <w:hideMark/>
                      </w:tcPr>
                      <w:p w14:paraId="14E23B27" w14:textId="77777777" w:rsidR="00C8348D" w:rsidRPr="00E5571E" w:rsidRDefault="00C8348D" w:rsidP="008102A6">
                        <w:pPr>
                          <w:rPr>
                            <w:b/>
                            <w:bCs/>
                          </w:rPr>
                        </w:pPr>
                        <w:r w:rsidRPr="00E5571E">
                          <w:rPr>
                            <w:b/>
                            <w:bCs/>
                          </w:rPr>
                          <w:t xml:space="preserve">Table Control </w:t>
                        </w:r>
                        <w:proofErr w:type="spellStart"/>
                        <w:r w:rsidRPr="00E5571E">
                          <w:rPr>
                            <w:b/>
                            <w:bCs/>
                          </w:rPr>
                          <w:t>Functionality</w:t>
                        </w:r>
                        <w:proofErr w:type="spellEnd"/>
                      </w:p>
                    </w:tc>
                    <w:tc>
                      <w:tcPr>
                        <w:tcW w:w="1798" w:type="dxa"/>
                        <w:tcBorders>
                          <w:top w:val="single" w:sz="8" w:space="0" w:color="auto"/>
                          <w:left w:val="nil"/>
                          <w:bottom w:val="single" w:sz="8" w:space="0" w:color="auto"/>
                          <w:right w:val="nil"/>
                        </w:tcBorders>
                        <w:shd w:val="clear" w:color="auto" w:fill="F2F2F2" w:themeFill="background1" w:themeFillShade="F2"/>
                        <w:tcMar>
                          <w:top w:w="15" w:type="dxa"/>
                          <w:left w:w="75" w:type="dxa"/>
                          <w:bottom w:w="15" w:type="dxa"/>
                          <w:right w:w="75" w:type="dxa"/>
                        </w:tcMar>
                        <w:hideMark/>
                      </w:tcPr>
                      <w:p w14:paraId="460400DD" w14:textId="77777777" w:rsidR="00C8348D" w:rsidRPr="00E5571E" w:rsidRDefault="00C8348D" w:rsidP="008102A6">
                        <w:pPr>
                          <w:rPr>
                            <w:i/>
                            <w:iCs/>
                          </w:rPr>
                        </w:pPr>
                        <w:r w:rsidRPr="00E5571E">
                          <w:rPr>
                            <w:i/>
                            <w:iCs/>
                          </w:rPr>
                          <w:t> </w:t>
                        </w:r>
                      </w:p>
                    </w:tc>
                    <w:tc>
                      <w:tcPr>
                        <w:tcW w:w="0" w:type="auto"/>
                        <w:tcBorders>
                          <w:top w:val="single" w:sz="8" w:space="0" w:color="auto"/>
                          <w:left w:val="nil"/>
                          <w:bottom w:val="single" w:sz="8" w:space="0" w:color="auto"/>
                          <w:right w:val="nil"/>
                        </w:tcBorders>
                        <w:shd w:val="clear" w:color="auto" w:fill="F2F2F2" w:themeFill="background1" w:themeFillShade="F2"/>
                        <w:tcMar>
                          <w:top w:w="15" w:type="dxa"/>
                          <w:left w:w="75" w:type="dxa"/>
                          <w:bottom w:w="15" w:type="dxa"/>
                          <w:right w:w="75" w:type="dxa"/>
                        </w:tcMar>
                        <w:hideMark/>
                      </w:tcPr>
                      <w:p w14:paraId="22A1F2E2" w14:textId="77777777" w:rsidR="00C8348D" w:rsidRPr="00E5571E" w:rsidRDefault="00C8348D" w:rsidP="008102A6">
                        <w:pPr>
                          <w:rPr>
                            <w:i/>
                            <w:iCs/>
                          </w:rPr>
                        </w:pPr>
                        <w:r w:rsidRPr="00E5571E">
                          <w:rPr>
                            <w:b/>
                            <w:bCs/>
                            <w:i/>
                            <w:iCs/>
                          </w:rPr>
                          <w:t>Activity Description</w:t>
                        </w:r>
                      </w:p>
                    </w:tc>
                    <w:tc>
                      <w:tcPr>
                        <w:tcW w:w="0" w:type="auto"/>
                        <w:tcBorders>
                          <w:top w:val="single" w:sz="8" w:space="0" w:color="auto"/>
                          <w:left w:val="nil"/>
                          <w:bottom w:val="single" w:sz="8" w:space="0" w:color="auto"/>
                          <w:right w:val="nil"/>
                        </w:tcBorders>
                        <w:shd w:val="clear" w:color="auto" w:fill="F2F2F2" w:themeFill="background1" w:themeFillShade="F2"/>
                        <w:tcMar>
                          <w:top w:w="15" w:type="dxa"/>
                          <w:left w:w="75" w:type="dxa"/>
                          <w:bottom w:w="15" w:type="dxa"/>
                          <w:right w:w="75" w:type="dxa"/>
                        </w:tcMar>
                        <w:hideMark/>
                      </w:tcPr>
                      <w:p w14:paraId="39EF7E5A" w14:textId="77777777" w:rsidR="00C8348D" w:rsidRPr="00E5571E" w:rsidRDefault="00C8348D" w:rsidP="008102A6">
                        <w:pPr>
                          <w:rPr>
                            <w:i/>
                            <w:iCs/>
                          </w:rPr>
                        </w:pPr>
                        <w:r w:rsidRPr="00E5571E">
                          <w:rPr>
                            <w:b/>
                            <w:bCs/>
                            <w:i/>
                            <w:iCs/>
                          </w:rPr>
                          <w:t xml:space="preserve">Activity </w:t>
                        </w:r>
                        <w:proofErr w:type="spellStart"/>
                        <w:r w:rsidRPr="00E5571E">
                          <w:rPr>
                            <w:b/>
                            <w:bCs/>
                            <w:i/>
                            <w:iCs/>
                          </w:rPr>
                          <w:t>Cost</w:t>
                        </w:r>
                        <w:proofErr w:type="spellEnd"/>
                      </w:p>
                    </w:tc>
                    <w:tc>
                      <w:tcPr>
                        <w:tcW w:w="0" w:type="auto"/>
                        <w:tcBorders>
                          <w:top w:val="single" w:sz="8" w:space="0" w:color="auto"/>
                          <w:left w:val="nil"/>
                          <w:bottom w:val="single" w:sz="8" w:space="0" w:color="auto"/>
                          <w:right w:val="nil"/>
                        </w:tcBorders>
                        <w:shd w:val="clear" w:color="auto" w:fill="F2F2F2" w:themeFill="background1" w:themeFillShade="F2"/>
                        <w:tcMar>
                          <w:top w:w="15" w:type="dxa"/>
                          <w:left w:w="75" w:type="dxa"/>
                          <w:bottom w:w="15" w:type="dxa"/>
                          <w:right w:w="75" w:type="dxa"/>
                        </w:tcMar>
                        <w:hideMark/>
                      </w:tcPr>
                      <w:p w14:paraId="33CF09A7" w14:textId="77777777" w:rsidR="00C8348D" w:rsidRPr="00E5571E" w:rsidRDefault="00C8348D" w:rsidP="008102A6">
                        <w:pPr>
                          <w:rPr>
                            <w:i/>
                            <w:iCs/>
                          </w:rPr>
                        </w:pPr>
                        <w:r w:rsidRPr="00E5571E">
                          <w:rPr>
                            <w:b/>
                            <w:bCs/>
                            <w:i/>
                            <w:iCs/>
                          </w:rPr>
                          <w:t>Time Line</w:t>
                        </w:r>
                      </w:p>
                    </w:tc>
                  </w:tr>
                  <w:tr w:rsidR="009A7E95" w:rsidRPr="00E5571E" w14:paraId="6CE68233" w14:textId="77777777" w:rsidTr="69A8F6F5">
                    <w:tc>
                      <w:tcPr>
                        <w:tcW w:w="1512" w:type="dxa"/>
                        <w:hideMark/>
                      </w:tcPr>
                      <w:p w14:paraId="5569DCFE" w14:textId="77777777" w:rsidR="00C8348D" w:rsidRPr="00E5571E" w:rsidRDefault="00C8348D" w:rsidP="008102A6">
                        <w:pPr>
                          <w:rPr>
                            <w:b/>
                            <w:bCs/>
                            <w:i/>
                            <w:iCs/>
                          </w:rPr>
                        </w:pPr>
                      </w:p>
                    </w:tc>
                    <w:tc>
                      <w:tcPr>
                        <w:tcW w:w="1798" w:type="dxa"/>
                        <w:tcBorders>
                          <w:top w:val="single" w:sz="8" w:space="0" w:color="auto"/>
                          <w:left w:val="nil"/>
                          <w:bottom w:val="single" w:sz="8" w:space="0" w:color="auto"/>
                          <w:right w:val="nil"/>
                        </w:tcBorders>
                        <w:tcMar>
                          <w:top w:w="15" w:type="dxa"/>
                          <w:left w:w="75" w:type="dxa"/>
                          <w:bottom w:w="15" w:type="dxa"/>
                          <w:right w:w="75" w:type="dxa"/>
                        </w:tcMar>
                        <w:hideMark/>
                      </w:tcPr>
                      <w:p w14:paraId="594FDF2D" w14:textId="77777777" w:rsidR="00C8348D" w:rsidRPr="00E5571E" w:rsidRDefault="00C8348D" w:rsidP="008102A6">
                        <w:r w:rsidRPr="00E5571E">
                          <w:t>Activity 1</w:t>
                        </w: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6831B88E" w14:textId="3BE9C615" w:rsidR="00C8348D" w:rsidRDefault="4F61951C" w:rsidP="008102A6">
                        <w:r>
                          <w:t>​</w:t>
                        </w:r>
                        <w:r w:rsidRPr="00C76F39">
                          <w:rPr>
                            <w:b/>
                            <w:bCs/>
                            <w:color w:val="2B579A"/>
                            <w:shd w:val="clear" w:color="auto" w:fill="E6E6E6"/>
                          </w:rPr>
                          <w:t>CADRE HABILITANT POUR LA RATIFICATION : Mise en place du cadre stratégique, législatif et réglementaire idoine pour l’intégration régionale de l’Union des Comores au ZLECAf  </w:t>
                        </w:r>
                        <w:r>
                          <w:t>:</w:t>
                        </w:r>
                      </w:p>
                      <w:p w14:paraId="186FC216" w14:textId="576FE089" w:rsidR="00E07C2E" w:rsidRPr="00747667" w:rsidRDefault="00E07C2E" w:rsidP="00C8348D">
                        <w:pPr>
                          <w:pStyle w:val="Paragraphedeliste"/>
                          <w:numPr>
                            <w:ilvl w:val="0"/>
                            <w:numId w:val="10"/>
                          </w:numPr>
                          <w:rPr>
                            <w:b/>
                            <w:bCs/>
                          </w:rPr>
                        </w:pPr>
                        <w:r>
                          <w:t xml:space="preserve">Mise en place et opérationnalisation au sein du Ministère de l’Economie/Direction générale du Commerce d’une </w:t>
                        </w:r>
                        <w:r w:rsidRPr="00747667">
                          <w:rPr>
                            <w:b/>
                            <w:bCs/>
                          </w:rPr>
                          <w:t>Unité</w:t>
                        </w:r>
                        <w:r w:rsidR="000812F8" w:rsidRPr="00747667">
                          <w:rPr>
                            <w:b/>
                            <w:bCs/>
                          </w:rPr>
                          <w:t xml:space="preserve"> dédiée au suivi de la mise en œuvre de l’Accord ZLECAf</w:t>
                        </w:r>
                      </w:p>
                      <w:p w14:paraId="56821F6A" w14:textId="66AF532E" w:rsidR="00C8348D" w:rsidRDefault="00C8348D" w:rsidP="00C8348D">
                        <w:pPr>
                          <w:pStyle w:val="Paragraphedeliste"/>
                          <w:numPr>
                            <w:ilvl w:val="0"/>
                            <w:numId w:val="10"/>
                          </w:numPr>
                        </w:pPr>
                        <w:r>
                          <w:t>Appuyer la</w:t>
                        </w:r>
                        <w:r w:rsidR="007C22A4">
                          <w:t xml:space="preserve"> </w:t>
                        </w:r>
                        <w:r w:rsidRPr="00435BAD">
                          <w:rPr>
                            <w:b/>
                            <w:bCs/>
                          </w:rPr>
                          <w:t>finalisation de la stratégie et du plan d’actions</w:t>
                        </w:r>
                        <w:r>
                          <w:t xml:space="preserve"> pour l’intégration des Comores à la ZLECAf, en tenant compte des dimensions de genre et de l’importance des jeunes</w:t>
                        </w:r>
                      </w:p>
                      <w:p w14:paraId="58FBFAB3" w14:textId="13BDAC4C" w:rsidR="00C8348D" w:rsidRDefault="00435BAD" w:rsidP="00C8348D">
                        <w:pPr>
                          <w:pStyle w:val="Paragraphedeliste"/>
                          <w:numPr>
                            <w:ilvl w:val="0"/>
                            <w:numId w:val="10"/>
                          </w:numPr>
                        </w:pPr>
                        <w:r>
                          <w:lastRenderedPageBreak/>
                          <w:t xml:space="preserve">Préparation du </w:t>
                        </w:r>
                        <w:r w:rsidRPr="00435BAD">
                          <w:rPr>
                            <w:b/>
                            <w:bCs/>
                          </w:rPr>
                          <w:t>cadre législatif et réglementaire</w:t>
                        </w:r>
                        <w:r>
                          <w:t xml:space="preserve"> incluant les aspects de e-commerce et paiement digital afin d’utiliser les possibilités du numérique comme accélérateur d’intégration </w:t>
                        </w:r>
                        <w:r w:rsidR="00C8348D">
                          <w:t xml:space="preserve">Mettre en place un </w:t>
                        </w:r>
                        <w:r w:rsidR="00C8348D" w:rsidRPr="00435BAD">
                          <w:rPr>
                            <w:b/>
                            <w:bCs/>
                          </w:rPr>
                          <w:t>système de collecte et d’analyse de données sensibles au genre</w:t>
                        </w:r>
                        <w:r w:rsidR="00C8348D">
                          <w:t xml:space="preserve"> liées à l’intégration du pays à la ZLECAF afin d’informer les processus de planification et de prise de décision</w:t>
                        </w:r>
                      </w:p>
                      <w:p w14:paraId="73BBEBF0" w14:textId="77777777" w:rsidR="007C22A4" w:rsidRDefault="00C8348D" w:rsidP="00435BAD">
                        <w:pPr>
                          <w:pStyle w:val="Paragraphedeliste"/>
                          <w:numPr>
                            <w:ilvl w:val="0"/>
                            <w:numId w:val="10"/>
                          </w:numPr>
                        </w:pPr>
                        <w:r>
                          <w:t xml:space="preserve">Accompagner la </w:t>
                        </w:r>
                        <w:r w:rsidRPr="00435BAD">
                          <w:rPr>
                            <w:b/>
                            <w:bCs/>
                          </w:rPr>
                          <w:t>mise en œuvre du plan d’action sensible au genre</w:t>
                        </w:r>
                        <w:r>
                          <w:t xml:space="preserve"> et attentif aux jeunes et </w:t>
                        </w:r>
                      </w:p>
                      <w:p w14:paraId="4A8E1988" w14:textId="27A75DAB" w:rsidR="007C22A4" w:rsidRPr="00E5571E" w:rsidRDefault="001C5C79" w:rsidP="00BC6167">
                        <w:pPr>
                          <w:pStyle w:val="Paragraphedeliste"/>
                          <w:spacing w:after="0" w:line="240" w:lineRule="auto"/>
                          <w:ind w:left="1080"/>
                          <w:contextualSpacing w:val="0"/>
                        </w:pPr>
                        <w:r>
                          <w:t xml:space="preserve">- </w:t>
                        </w:r>
                        <w:r w:rsidR="007C22A4">
                          <w:t>F</w:t>
                        </w:r>
                        <w:r w:rsidR="00C8348D">
                          <w:t xml:space="preserve">avoriser la </w:t>
                        </w:r>
                        <w:r w:rsidR="00C8348D" w:rsidRPr="00747667">
                          <w:rPr>
                            <w:b/>
                            <w:bCs/>
                          </w:rPr>
                          <w:t>coopération Sud/Sud</w:t>
                        </w:r>
                        <w:r w:rsidR="00C8348D">
                          <w:t xml:space="preserve"> en renforçant </w:t>
                        </w:r>
                        <w:r w:rsidR="002C32F7">
                          <w:t xml:space="preserve">notamment </w:t>
                        </w:r>
                        <w:r w:rsidR="00C8348D">
                          <w:t>le dialogue avec les autres PIED africains en s’assurant d’intégrer les femmes dans les acteurs impliqués</w:t>
                        </w:r>
                        <w:r w:rsidR="007C22A4">
                          <w:t xml:space="preserve"> pour le processus de ratification/préparation au </w:t>
                        </w:r>
                        <w:proofErr w:type="spellStart"/>
                        <w:r w:rsidR="007C22A4">
                          <w:t>Zelecaf</w:t>
                        </w:r>
                        <w:proofErr w:type="spellEnd"/>
                        <w:r w:rsidR="007C22A4">
                          <w:t xml:space="preserve"> et dans l’échange de bonnes pratiques et d’expériences sur le renforcement de capacités pour l’entreprenariat/les PMEs</w:t>
                        </w: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487653C4" w14:textId="68B3B8F5" w:rsidR="00C8348D" w:rsidRPr="00E5571E" w:rsidRDefault="00C8348D" w:rsidP="008102A6">
                        <w:r w:rsidRPr="00E5571E">
                          <w:rPr>
                            <w:color w:val="2B579A"/>
                            <w:shd w:val="clear" w:color="auto" w:fill="E6E6E6"/>
                          </w:rPr>
                          <w:lastRenderedPageBreak/>
                          <w:object w:dxaOrig="1440" w:dyaOrig="1440" w14:anchorId="1A0CECA9">
                            <v:shape id="_x0000_i1058" type="#_x0000_t75" style="width:49.5pt;height:18pt" o:ole="">
                              <v:imagedata r:id="rId21" o:title=""/>
                            </v:shape>
                            <w:control r:id="rId22" w:name="DefaultOcxName2" w:shapeid="_x0000_i1058"/>
                          </w:object>
                        </w:r>
                        <w:r w:rsidR="06BA00BF">
                          <w:t xml:space="preserve"> </w:t>
                        </w: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7E786C7A" w14:textId="77777777" w:rsidR="00C8348D" w:rsidRPr="00E5571E" w:rsidRDefault="00C8348D" w:rsidP="008102A6">
                        <w:r w:rsidRPr="00E5571E">
                          <w:t>​</w:t>
                        </w:r>
                      </w:p>
                    </w:tc>
                  </w:tr>
                  <w:tr w:rsidR="009A7E95" w:rsidRPr="00E5571E" w14:paraId="563EB8B0" w14:textId="77777777" w:rsidTr="69A8F6F5">
                    <w:tc>
                      <w:tcPr>
                        <w:tcW w:w="1512" w:type="dxa"/>
                      </w:tcPr>
                      <w:p w14:paraId="621DBE5C" w14:textId="77777777" w:rsidR="00C8348D" w:rsidRPr="00E5571E" w:rsidRDefault="00C8348D" w:rsidP="008102A6">
                        <w:pPr>
                          <w:rPr>
                            <w:b/>
                            <w:bCs/>
                            <w:i/>
                            <w:iCs/>
                          </w:rPr>
                        </w:pPr>
                      </w:p>
                    </w:tc>
                    <w:tc>
                      <w:tcPr>
                        <w:tcW w:w="1798" w:type="dxa"/>
                        <w:tcBorders>
                          <w:top w:val="single" w:sz="8" w:space="0" w:color="auto"/>
                          <w:left w:val="nil"/>
                          <w:bottom w:val="single" w:sz="8" w:space="0" w:color="auto"/>
                          <w:right w:val="nil"/>
                        </w:tcBorders>
                        <w:tcMar>
                          <w:top w:w="15" w:type="dxa"/>
                          <w:left w:w="75" w:type="dxa"/>
                          <w:bottom w:w="15" w:type="dxa"/>
                          <w:right w:w="75" w:type="dxa"/>
                        </w:tcMar>
                      </w:tcPr>
                      <w:p w14:paraId="2A1CB58D" w14:textId="77777777" w:rsidR="00C8348D" w:rsidRPr="00E5571E" w:rsidRDefault="00C8348D" w:rsidP="008102A6">
                        <w:r>
                          <w:t>Activity 2</w:t>
                        </w:r>
                      </w:p>
                    </w:tc>
                    <w:tc>
                      <w:tcPr>
                        <w:tcW w:w="0" w:type="auto"/>
                        <w:tcBorders>
                          <w:top w:val="single" w:sz="8" w:space="0" w:color="auto"/>
                          <w:left w:val="nil"/>
                          <w:bottom w:val="single" w:sz="8" w:space="0" w:color="auto"/>
                          <w:right w:val="nil"/>
                        </w:tcBorders>
                        <w:tcMar>
                          <w:top w:w="15" w:type="dxa"/>
                          <w:left w:w="75" w:type="dxa"/>
                          <w:bottom w:w="15" w:type="dxa"/>
                          <w:right w:w="75" w:type="dxa"/>
                        </w:tcMar>
                      </w:tcPr>
                      <w:p w14:paraId="2A6DABCE" w14:textId="77777777" w:rsidR="00C8348D" w:rsidRPr="00C76F39" w:rsidRDefault="4F61951C" w:rsidP="5550D510">
                        <w:pPr>
                          <w:rPr>
                            <w:b/>
                            <w:bCs/>
                          </w:rPr>
                        </w:pPr>
                        <w:r w:rsidRPr="00C76F39">
                          <w:rPr>
                            <w:b/>
                            <w:bCs/>
                            <w:color w:val="2B579A"/>
                            <w:shd w:val="clear" w:color="auto" w:fill="E6E6E6"/>
                          </w:rPr>
                          <w:t>CADRE HABILITANT POUR LA RATIFICATION : sensibilisation des acteurs publics, privés et de la société civile autour de la ratification de la ZLECAF</w:t>
                        </w:r>
                      </w:p>
                      <w:p w14:paraId="0B5F4098" w14:textId="3AC5CCE5" w:rsidR="00C8348D" w:rsidRPr="00E5571E" w:rsidRDefault="7CE4DCA8" w:rsidP="00C8348D">
                        <w:pPr>
                          <w:pStyle w:val="Paragraphedeliste"/>
                          <w:numPr>
                            <w:ilvl w:val="0"/>
                            <w:numId w:val="10"/>
                          </w:numPr>
                        </w:pPr>
                        <w:r w:rsidRPr="00C76F39">
                          <w:rPr>
                            <w:b/>
                            <w:bCs/>
                          </w:rPr>
                          <w:t>Faire connaître</w:t>
                        </w:r>
                        <w:r w:rsidR="6BF2F05F" w:rsidRPr="00C76F39">
                          <w:rPr>
                            <w:b/>
                            <w:bCs/>
                          </w:rPr>
                          <w:t>/augmenter la notoriété de</w:t>
                        </w:r>
                        <w:r w:rsidR="29A530DC" w:rsidRPr="00C76F39">
                          <w:rPr>
                            <w:b/>
                            <w:bCs/>
                          </w:rPr>
                          <w:t xml:space="preserve"> la ZLECA</w:t>
                        </w:r>
                        <w:r w:rsidR="7D32DAF0" w:rsidRPr="00C76F39">
                          <w:rPr>
                            <w:b/>
                            <w:bCs/>
                          </w:rPr>
                          <w:t>f</w:t>
                        </w:r>
                        <w:r w:rsidR="61F1B8C3" w:rsidRPr="00C76F39">
                          <w:rPr>
                            <w:b/>
                            <w:bCs/>
                          </w:rPr>
                          <w:t>:</w:t>
                        </w:r>
                        <w:r w:rsidR="778D16D8">
                          <w:t xml:space="preserve"> concevoir et déployer </w:t>
                        </w:r>
                        <w:r w:rsidR="61F1B8C3">
                          <w:t xml:space="preserve">des actions de communication </w:t>
                        </w:r>
                        <w:r w:rsidR="05CB74D0">
                          <w:t xml:space="preserve">spécifiques en fonction des différents publics </w:t>
                        </w:r>
                        <w:r w:rsidR="300BC740">
                          <w:t xml:space="preserve">concernés </w:t>
                        </w:r>
                        <w:r w:rsidR="391A0410">
                          <w:t>(interne à différents niveaux, grand-public et médias, gouvernement, OSC</w:t>
                        </w:r>
                        <w:r w:rsidR="692E81A8">
                          <w:t>, jeunes, femmes</w:t>
                        </w:r>
                        <w:r w:rsidR="391A0410">
                          <w:t xml:space="preserve">...), </w:t>
                        </w:r>
                        <w:r w:rsidR="05CB74D0">
                          <w:t>et adaptés à leurs habitudes</w:t>
                        </w:r>
                        <w:r w:rsidR="2288F3D5">
                          <w:t xml:space="preserve"> de consommation </w:t>
                        </w:r>
                        <w:r w:rsidR="6F1F1F04">
                          <w:t xml:space="preserve">de l’information </w:t>
                        </w:r>
                        <w:r w:rsidR="61F1B8C3">
                          <w:t xml:space="preserve">visant à </w:t>
                        </w:r>
                        <w:r w:rsidR="55F9AFAA">
                          <w:t xml:space="preserve">les </w:t>
                        </w:r>
                        <w:r w:rsidR="61F1B8C3">
                          <w:t>informer</w:t>
                        </w:r>
                        <w:r w:rsidR="570322C0">
                          <w:t xml:space="preserve"> </w:t>
                        </w:r>
                        <w:r w:rsidR="61F1B8C3">
                          <w:t>sur l'</w:t>
                        </w:r>
                        <w:r w:rsidR="61F1B8C3" w:rsidRPr="00C76F39">
                          <w:rPr>
                            <w:b/>
                            <w:bCs/>
                          </w:rPr>
                          <w:t>existence de la Z</w:t>
                        </w:r>
                        <w:r w:rsidR="492C7DF2" w:rsidRPr="00C76F39">
                          <w:rPr>
                            <w:b/>
                            <w:bCs/>
                          </w:rPr>
                          <w:t>LECAf</w:t>
                        </w:r>
                        <w:r w:rsidR="492C7DF2">
                          <w:t>, les potentialités qu’elle offre en fonction des publics et les initiatives envisagées dans le pays;</w:t>
                        </w:r>
                      </w:p>
                      <w:p w14:paraId="42C03CE2" w14:textId="776A96B1" w:rsidR="00C8348D" w:rsidRPr="00E5571E" w:rsidRDefault="13485B97" w:rsidP="00C8348D">
                        <w:pPr>
                          <w:pStyle w:val="Paragraphedeliste"/>
                          <w:numPr>
                            <w:ilvl w:val="0"/>
                            <w:numId w:val="10"/>
                          </w:numPr>
                        </w:pPr>
                        <w:r w:rsidRPr="00C76F39">
                          <w:rPr>
                            <w:b/>
                            <w:bCs/>
                          </w:rPr>
                          <w:t>C</w:t>
                        </w:r>
                        <w:r w:rsidR="7CE4DCA8" w:rsidRPr="00C76F39">
                          <w:rPr>
                            <w:b/>
                            <w:bCs/>
                          </w:rPr>
                          <w:t xml:space="preserve">réer une </w:t>
                        </w:r>
                        <w:r w:rsidR="72527E07" w:rsidRPr="6BD10D1A">
                          <w:rPr>
                            <w:b/>
                            <w:bCs/>
                          </w:rPr>
                          <w:t>adhésion :</w:t>
                        </w:r>
                        <w:r w:rsidR="64DC825B" w:rsidRPr="00C76F39">
                          <w:rPr>
                            <w:b/>
                            <w:bCs/>
                          </w:rPr>
                          <w:t xml:space="preserve"> </w:t>
                        </w:r>
                        <w:r w:rsidR="2DC4CE4B">
                          <w:t xml:space="preserve">valoriser le projet </w:t>
                        </w:r>
                        <w:r w:rsidR="55CA5D39">
                          <w:t xml:space="preserve">et l’image de la ZLECAF </w:t>
                        </w:r>
                        <w:r w:rsidR="2DC4CE4B">
                          <w:t xml:space="preserve">comme une solution efficace </w:t>
                        </w:r>
                        <w:r w:rsidR="0D9F8B98">
                          <w:t xml:space="preserve">pour le développement </w:t>
                        </w:r>
                        <w:r w:rsidR="74FA7A8A">
                          <w:t xml:space="preserve">inclusif, qui ne laisse personne de côté, </w:t>
                        </w:r>
                        <w:r w:rsidR="2DC4CE4B">
                          <w:t>et obtenir des parties prenantes</w:t>
                        </w:r>
                        <w:r w:rsidR="001108FB">
                          <w:t>, incluant les OSC,</w:t>
                        </w:r>
                        <w:r w:rsidR="2DC4CE4B">
                          <w:t xml:space="preserve"> qu’elles en deviennent les porte-paroles </w:t>
                        </w:r>
                        <w:r w:rsidR="32B36DAC">
                          <w:t xml:space="preserve">et </w:t>
                        </w:r>
                        <w:r w:rsidR="7B6110EE">
                          <w:t>les défenseurs</w:t>
                        </w:r>
                        <w:r w:rsidR="5120BE7E">
                          <w:t xml:space="preserve"> dans leurs sphères </w:t>
                        </w:r>
                        <w:r w:rsidR="690FE3C9">
                          <w:t>d’influence ;</w:t>
                        </w:r>
                      </w:p>
                      <w:p w14:paraId="4C64BF8C" w14:textId="5CBEC067" w:rsidR="00C8348D" w:rsidRPr="00E5571E" w:rsidRDefault="2B22F797" w:rsidP="00C8348D">
                        <w:pPr>
                          <w:pStyle w:val="Paragraphedeliste"/>
                          <w:numPr>
                            <w:ilvl w:val="0"/>
                            <w:numId w:val="10"/>
                          </w:numPr>
                        </w:pPr>
                        <w:r w:rsidRPr="00C76F39">
                          <w:rPr>
                            <w:b/>
                            <w:bCs/>
                          </w:rPr>
                          <w:t xml:space="preserve">Mobiliser </w:t>
                        </w:r>
                        <w:r w:rsidR="6935B206" w:rsidRPr="6BD10D1A">
                          <w:rPr>
                            <w:b/>
                            <w:bCs/>
                          </w:rPr>
                          <w:t>les parti</w:t>
                        </w:r>
                        <w:r w:rsidR="004C399A">
                          <w:rPr>
                            <w:b/>
                            <w:bCs/>
                          </w:rPr>
                          <w:t xml:space="preserve">es </w:t>
                        </w:r>
                        <w:r w:rsidR="6935B206" w:rsidRPr="6BD10D1A">
                          <w:rPr>
                            <w:b/>
                            <w:bCs/>
                          </w:rPr>
                          <w:t xml:space="preserve">prenantes </w:t>
                        </w:r>
                        <w:r w:rsidRPr="00C76F39">
                          <w:rPr>
                            <w:b/>
                            <w:bCs/>
                          </w:rPr>
                          <w:t xml:space="preserve">et </w:t>
                        </w:r>
                        <w:r w:rsidR="77BEE941" w:rsidRPr="00C76F39">
                          <w:rPr>
                            <w:b/>
                            <w:bCs/>
                          </w:rPr>
                          <w:t>susciter</w:t>
                        </w:r>
                        <w:r w:rsidRPr="00C76F39">
                          <w:rPr>
                            <w:b/>
                            <w:bCs/>
                          </w:rPr>
                          <w:t xml:space="preserve"> </w:t>
                        </w:r>
                        <w:r w:rsidR="481F8AAB" w:rsidRPr="6BD10D1A">
                          <w:rPr>
                            <w:b/>
                            <w:bCs/>
                          </w:rPr>
                          <w:t>leur implication/</w:t>
                        </w:r>
                        <w:r w:rsidRPr="00C76F39">
                          <w:rPr>
                            <w:b/>
                            <w:bCs/>
                          </w:rPr>
                          <w:t>des actions</w:t>
                        </w:r>
                        <w:r w:rsidR="54F8DC0D">
                          <w:t>: s</w:t>
                        </w:r>
                        <w:r w:rsidR="00C8348D">
                          <w:t>ensibiliser l’ensemble des</w:t>
                        </w:r>
                        <w:r w:rsidR="67FFF94E">
                          <w:t xml:space="preserve"> partie-prenantes </w:t>
                        </w:r>
                        <w:r w:rsidR="683B86DC">
                          <w:t>, les inviter et les encourager à mener</w:t>
                        </w:r>
                        <w:r w:rsidR="00C8348D">
                          <w:t xml:space="preserve"> </w:t>
                        </w:r>
                        <w:r w:rsidR="390BCAF6">
                          <w:t xml:space="preserve">des </w:t>
                        </w:r>
                        <w:r w:rsidR="7A66E5C4">
                          <w:t xml:space="preserve">actions spécifiques </w:t>
                        </w:r>
                        <w:r w:rsidR="093BF864">
                          <w:t>pour que la</w:t>
                        </w:r>
                        <w:r w:rsidR="00C8348D">
                          <w:t xml:space="preserve"> ZLECAf</w:t>
                        </w:r>
                        <w:r w:rsidR="0114B9AA">
                          <w:t xml:space="preserve"> devienne une option concrète</w:t>
                        </w:r>
                        <w:r w:rsidR="0E41BA53">
                          <w:t xml:space="preserve"> (</w:t>
                        </w:r>
                        <w:r w:rsidR="1D530020">
                          <w:t xml:space="preserve">créer les conditions et </w:t>
                        </w:r>
                        <w:r w:rsidR="0E41BA53">
                          <w:t xml:space="preserve">appeler les partenaires à soutenir </w:t>
                        </w:r>
                        <w:r w:rsidR="5F848A77">
                          <w:t xml:space="preserve">publiquement, </w:t>
                        </w:r>
                        <w:r w:rsidR="0E41BA53">
                          <w:t xml:space="preserve">politiquement, financièrement, </w:t>
                        </w:r>
                        <w:r w:rsidR="0E41BA53">
                          <w:lastRenderedPageBreak/>
                          <w:t>techniquement les initiatives proposées</w:t>
                        </w:r>
                        <w:r w:rsidR="435045EB">
                          <w:t xml:space="preserve"> en</w:t>
                        </w:r>
                        <w:r w:rsidR="00A87C41">
                          <w:t xml:space="preserve"> </w:t>
                        </w:r>
                        <w:r w:rsidR="00C8348D">
                          <w:t>garanti</w:t>
                        </w:r>
                        <w:r w:rsidR="4D14062E">
                          <w:t>ssant</w:t>
                        </w:r>
                        <w:r w:rsidR="00C8348D">
                          <w:t xml:space="preserve"> une participation effective des femmes </w:t>
                        </w:r>
                        <w:r w:rsidR="3C1EE99B">
                          <w:t xml:space="preserve">et des jeunes </w:t>
                        </w:r>
                        <w:r w:rsidR="00C8348D">
                          <w:t>dans ces processus</w:t>
                        </w:r>
                      </w:p>
                    </w:tc>
                    <w:tc>
                      <w:tcPr>
                        <w:tcW w:w="0" w:type="auto"/>
                        <w:tcBorders>
                          <w:top w:val="single" w:sz="8" w:space="0" w:color="auto"/>
                          <w:left w:val="nil"/>
                          <w:bottom w:val="single" w:sz="8" w:space="0" w:color="auto"/>
                          <w:right w:val="nil"/>
                        </w:tcBorders>
                        <w:tcMar>
                          <w:top w:w="15" w:type="dxa"/>
                          <w:left w:w="75" w:type="dxa"/>
                          <w:bottom w:w="15" w:type="dxa"/>
                          <w:right w:w="75" w:type="dxa"/>
                        </w:tcMar>
                      </w:tcPr>
                      <w:p w14:paraId="0B3A03A9" w14:textId="51914765" w:rsidR="00C8348D" w:rsidRPr="00E5571E" w:rsidRDefault="00C8348D" w:rsidP="008102A6"/>
                      <w:p w14:paraId="50154329" w14:textId="4460DFE5" w:rsidR="00C8348D" w:rsidRPr="00E5571E" w:rsidRDefault="00C8348D" w:rsidP="5550D510">
                        <w:r w:rsidRPr="00E5571E">
                          <w:rPr>
                            <w:color w:val="2B579A"/>
                            <w:shd w:val="clear" w:color="auto" w:fill="E6E6E6"/>
                          </w:rPr>
                          <w:object w:dxaOrig="1440" w:dyaOrig="1440" w14:anchorId="7CDFCC62">
                            <v:shape id="_x0000_i1062" type="#_x0000_t75" style="width:49.5pt;height:18pt" o:ole="">
                              <v:imagedata r:id="rId23" o:title=""/>
                            </v:shape>
                            <w:control r:id="rId24" w:name="DefaultOcxName21" w:shapeid="_x0000_i1062"/>
                          </w:object>
                        </w:r>
                      </w:p>
                    </w:tc>
                    <w:tc>
                      <w:tcPr>
                        <w:tcW w:w="0" w:type="auto"/>
                        <w:tcBorders>
                          <w:top w:val="single" w:sz="8" w:space="0" w:color="auto"/>
                          <w:left w:val="nil"/>
                          <w:bottom w:val="single" w:sz="8" w:space="0" w:color="auto"/>
                          <w:right w:val="nil"/>
                        </w:tcBorders>
                        <w:tcMar>
                          <w:top w:w="15" w:type="dxa"/>
                          <w:left w:w="75" w:type="dxa"/>
                          <w:bottom w:w="15" w:type="dxa"/>
                          <w:right w:w="75" w:type="dxa"/>
                        </w:tcMar>
                      </w:tcPr>
                      <w:p w14:paraId="5ABE6BE9" w14:textId="77777777" w:rsidR="00C8348D" w:rsidRPr="00E5571E" w:rsidRDefault="00C8348D" w:rsidP="008102A6"/>
                    </w:tc>
                  </w:tr>
                  <w:tr w:rsidR="009A7E95" w:rsidRPr="00E5571E" w14:paraId="6F9A8D0F" w14:textId="77777777" w:rsidTr="69A8F6F5">
                    <w:tc>
                      <w:tcPr>
                        <w:tcW w:w="1512" w:type="dxa"/>
                      </w:tcPr>
                      <w:p w14:paraId="3F40191F" w14:textId="77777777" w:rsidR="00C8348D" w:rsidRPr="00E5571E" w:rsidRDefault="00C8348D" w:rsidP="008102A6">
                        <w:pPr>
                          <w:rPr>
                            <w:b/>
                            <w:bCs/>
                            <w:i/>
                            <w:iCs/>
                          </w:rPr>
                        </w:pPr>
                      </w:p>
                    </w:tc>
                    <w:tc>
                      <w:tcPr>
                        <w:tcW w:w="1798" w:type="dxa"/>
                        <w:tcBorders>
                          <w:top w:val="single" w:sz="8" w:space="0" w:color="auto"/>
                          <w:left w:val="nil"/>
                          <w:bottom w:val="single" w:sz="8" w:space="0" w:color="auto"/>
                          <w:right w:val="nil"/>
                        </w:tcBorders>
                        <w:tcMar>
                          <w:top w:w="15" w:type="dxa"/>
                          <w:left w:w="75" w:type="dxa"/>
                          <w:bottom w:w="15" w:type="dxa"/>
                          <w:right w:w="75" w:type="dxa"/>
                        </w:tcMar>
                      </w:tcPr>
                      <w:p w14:paraId="1910844B" w14:textId="77777777" w:rsidR="00C8348D" w:rsidRDefault="00C8348D" w:rsidP="008102A6">
                        <w:r>
                          <w:t>Activity 3</w:t>
                        </w:r>
                      </w:p>
                    </w:tc>
                    <w:tc>
                      <w:tcPr>
                        <w:tcW w:w="0" w:type="auto"/>
                        <w:tcBorders>
                          <w:top w:val="single" w:sz="8" w:space="0" w:color="auto"/>
                          <w:left w:val="nil"/>
                          <w:bottom w:val="single" w:sz="8" w:space="0" w:color="auto"/>
                          <w:right w:val="nil"/>
                        </w:tcBorders>
                        <w:tcMar>
                          <w:top w:w="15" w:type="dxa"/>
                          <w:left w:w="75" w:type="dxa"/>
                          <w:bottom w:w="15" w:type="dxa"/>
                          <w:right w:w="75" w:type="dxa"/>
                        </w:tcMar>
                      </w:tcPr>
                      <w:p w14:paraId="29AFF668" w14:textId="77777777" w:rsidR="00C8348D" w:rsidRPr="00C76F39" w:rsidRDefault="4F61951C" w:rsidP="5550D510">
                        <w:pPr>
                          <w:rPr>
                            <w:b/>
                            <w:bCs/>
                          </w:rPr>
                        </w:pPr>
                        <w:r w:rsidRPr="00C76F39">
                          <w:rPr>
                            <w:b/>
                            <w:bCs/>
                            <w:color w:val="2B579A"/>
                            <w:shd w:val="clear" w:color="auto" w:fill="E6E6E6"/>
                          </w:rPr>
                          <w:t xml:space="preserve">ECOSYSTEME ENTREPRENEURIAL : Etablissement d’un écosystème stimulant pour l’accès des entrepreneurs jeunes et femmes aux opportunités du </w:t>
                        </w:r>
                        <w:proofErr w:type="spellStart"/>
                        <w:r w:rsidRPr="00C76F39">
                          <w:rPr>
                            <w:b/>
                            <w:bCs/>
                            <w:color w:val="2B579A"/>
                            <w:shd w:val="clear" w:color="auto" w:fill="E6E6E6"/>
                          </w:rPr>
                          <w:t>Zlecaf</w:t>
                        </w:r>
                        <w:proofErr w:type="spellEnd"/>
                        <w:r w:rsidRPr="00C76F39">
                          <w:rPr>
                            <w:b/>
                            <w:bCs/>
                            <w:color w:val="2B579A"/>
                            <w:shd w:val="clear" w:color="auto" w:fill="E6E6E6"/>
                          </w:rPr>
                          <w:t> :</w:t>
                        </w:r>
                      </w:p>
                      <w:p w14:paraId="75645BE2" w14:textId="7211AB35" w:rsidR="00B6140C" w:rsidRDefault="00B6140C" w:rsidP="00B6140C">
                        <w:pPr>
                          <w:pStyle w:val="Paragraphedeliste"/>
                          <w:ind w:left="1080"/>
                        </w:pPr>
                        <w:r w:rsidRPr="00BC6167">
                          <w:rPr>
                            <w:b/>
                            <w:bCs/>
                          </w:rPr>
                          <w:t xml:space="preserve">RENFORCER LES CAPACITES </w:t>
                        </w:r>
                        <w:r w:rsidR="003647C4" w:rsidRPr="00BC6167">
                          <w:rPr>
                            <w:b/>
                            <w:bCs/>
                          </w:rPr>
                          <w:t>D’AFFAIRES</w:t>
                        </w:r>
                        <w:r w:rsidRPr="00BC6167">
                          <w:rPr>
                            <w:b/>
                            <w:bCs/>
                          </w:rPr>
                          <w:t xml:space="preserve"> DES ENTREPRENEURS</w:t>
                        </w:r>
                        <w:r>
                          <w:t> :</w:t>
                        </w:r>
                      </w:p>
                      <w:p w14:paraId="3E37F65E" w14:textId="77777777" w:rsidR="00E03305" w:rsidRDefault="00B6140C" w:rsidP="00E03305">
                        <w:pPr>
                          <w:pStyle w:val="Paragraphedeliste"/>
                          <w:numPr>
                            <w:ilvl w:val="0"/>
                            <w:numId w:val="10"/>
                          </w:numPr>
                        </w:pPr>
                        <w:r>
                          <w:t>Mettre en place un programme d’accompagnement des entrepreneurs</w:t>
                        </w:r>
                        <w:r w:rsidR="00B802B4">
                          <w:t xml:space="preserve"> de la phase d’idéation à la phase de maturation/expansion de l’entreprise, en passant par la phase de prototypage</w:t>
                        </w:r>
                      </w:p>
                      <w:p w14:paraId="7AA361CA" w14:textId="77777777" w:rsidR="00E03305" w:rsidRDefault="00B6140C" w:rsidP="00E03305">
                        <w:pPr>
                          <w:pStyle w:val="Paragraphedeliste"/>
                          <w:numPr>
                            <w:ilvl w:val="0"/>
                            <w:numId w:val="10"/>
                          </w:numPr>
                        </w:pPr>
                        <w:r>
                          <w:t>Form</w:t>
                        </w:r>
                        <w:r w:rsidR="00E03305">
                          <w:t>er</w:t>
                        </w:r>
                        <w:r>
                          <w:t>/sensibilis</w:t>
                        </w:r>
                        <w:r w:rsidR="00E03305">
                          <w:t>er</w:t>
                        </w:r>
                        <w:r>
                          <w:t xml:space="preserve"> des structures d’incubation du pays aux exigences et opportunités du ZLECAF et mise en relation avec des incubateurs de la région qui ont des connaissances en la matière </w:t>
                        </w:r>
                      </w:p>
                      <w:p w14:paraId="72CA21FE" w14:textId="27F84608" w:rsidR="00D74CE6" w:rsidRDefault="00D74CE6" w:rsidP="00E03305">
                        <w:pPr>
                          <w:pStyle w:val="Paragraphedeliste"/>
                          <w:numPr>
                            <w:ilvl w:val="0"/>
                            <w:numId w:val="10"/>
                          </w:numPr>
                        </w:pPr>
                        <w:r>
                          <w:t>Etablir un cadre de concertation avec le secteur bancaire afin d’améliorer l’accès des entrepreneurs à des financements adaptés</w:t>
                        </w:r>
                      </w:p>
                      <w:p w14:paraId="44B422F5" w14:textId="77777777" w:rsidR="00B6140C" w:rsidRDefault="00B6140C" w:rsidP="00B6140C">
                        <w:pPr>
                          <w:pStyle w:val="Paragraphedeliste"/>
                          <w:ind w:left="1080"/>
                        </w:pPr>
                      </w:p>
                      <w:p w14:paraId="3D5ED02F" w14:textId="703F3A80" w:rsidR="00B6140C" w:rsidRPr="00BC6167" w:rsidRDefault="00B6140C" w:rsidP="00B6140C">
                        <w:pPr>
                          <w:pStyle w:val="Paragraphedeliste"/>
                          <w:ind w:left="1080"/>
                          <w:rPr>
                            <w:b/>
                            <w:bCs/>
                          </w:rPr>
                        </w:pPr>
                        <w:r w:rsidRPr="00BC6167">
                          <w:rPr>
                            <w:b/>
                            <w:bCs/>
                          </w:rPr>
                          <w:t>ACCEDER AUX MARCHES :</w:t>
                        </w:r>
                      </w:p>
                      <w:p w14:paraId="729DC7CD" w14:textId="77777777" w:rsidR="00E03305" w:rsidRDefault="00B6140C" w:rsidP="00E03305">
                        <w:pPr>
                          <w:pStyle w:val="Paragraphedeliste"/>
                          <w:ind w:left="1080"/>
                        </w:pPr>
                        <w:r>
                          <w:t xml:space="preserve">- </w:t>
                        </w:r>
                        <w:r w:rsidR="00C8348D">
                          <w:t>Soutenir des études de faisabilité afin d’orienter le secteur privé vers des opportunités de diversification de l’offre exportabl</w:t>
                        </w:r>
                        <w:r>
                          <w:t>e</w:t>
                        </w:r>
                        <w:r w:rsidR="00194FBD">
                          <w:t xml:space="preserve"> dans des secteurs porteurs (notamment économie verte/bleue</w:t>
                        </w:r>
                        <w:r w:rsidR="00B802B4">
                          <w:t xml:space="preserve">) </w:t>
                        </w:r>
                      </w:p>
                      <w:p w14:paraId="57423971" w14:textId="69729D9C" w:rsidR="00B802B4" w:rsidRDefault="00E03305" w:rsidP="00E03305">
                        <w:pPr>
                          <w:pStyle w:val="Paragraphedeliste"/>
                          <w:ind w:left="1080"/>
                        </w:pPr>
                        <w:r>
                          <w:t xml:space="preserve">- </w:t>
                        </w:r>
                        <w:r w:rsidR="00C8348D">
                          <w:t xml:space="preserve">Etablir et renforcer un réseau efficace de l’UCCIA et </w:t>
                        </w:r>
                        <w:r w:rsidR="00191FF0">
                          <w:t xml:space="preserve">de </w:t>
                        </w:r>
                        <w:r w:rsidR="00C8348D">
                          <w:t>ses homologues de la région afin d’identifier de nouvelles opportunités pour le commerce et l’entreprenariat comorien porté par les jeunes et les femmes</w:t>
                        </w:r>
                      </w:p>
                      <w:p w14:paraId="4C222B11" w14:textId="6891734C" w:rsidR="00C8348D" w:rsidRDefault="00E03305" w:rsidP="00747667">
                        <w:pPr>
                          <w:pStyle w:val="Paragraphedeliste"/>
                          <w:ind w:left="1080"/>
                        </w:pPr>
                        <w:r>
                          <w:t xml:space="preserve">- </w:t>
                        </w:r>
                        <w:r w:rsidR="4F61951C">
                          <w:t>Adhé</w:t>
                        </w:r>
                        <w:r w:rsidR="00B802B4">
                          <w:t>rer</w:t>
                        </w:r>
                        <w:r w:rsidR="4F61951C">
                          <w:t xml:space="preserve"> </w:t>
                        </w:r>
                        <w:r w:rsidR="7114938D">
                          <w:t xml:space="preserve">aux initiatives régionales porteuses: </w:t>
                        </w:r>
                        <w:r w:rsidR="684D930D">
                          <w:t>a)</w:t>
                        </w:r>
                        <w:r w:rsidR="4F61951C">
                          <w:t xml:space="preserve"> </w:t>
                        </w:r>
                        <w:proofErr w:type="spellStart"/>
                        <w:r w:rsidR="4F61951C">
                          <w:t>Youthconnekt</w:t>
                        </w:r>
                        <w:proofErr w:type="spellEnd"/>
                        <w:r w:rsidR="4F61951C">
                          <w:t xml:space="preserve"> pour renforcer les opportunités des jeunes porteurs de projet</w:t>
                        </w:r>
                        <w:r w:rsidR="00A274C0">
                          <w:t xml:space="preserve"> et les relier à un réseau d’entrepreneurs plus</w:t>
                        </w:r>
                        <w:r w:rsidR="00E1619F">
                          <w:t xml:space="preserve"> expérimentés,</w:t>
                        </w:r>
                        <w:r w:rsidR="00A274C0">
                          <w:t xml:space="preserve"> audacieux et innovants</w:t>
                        </w:r>
                        <w:r w:rsidR="2C98445F">
                          <w:t xml:space="preserve">, b) </w:t>
                        </w:r>
                        <w:proofErr w:type="spellStart"/>
                        <w:r w:rsidR="2C98445F">
                          <w:t>African</w:t>
                        </w:r>
                        <w:proofErr w:type="spellEnd"/>
                        <w:r w:rsidR="2C98445F">
                          <w:t xml:space="preserve"> Young </w:t>
                        </w:r>
                        <w:proofErr w:type="spellStart"/>
                        <w:r w:rsidR="2C98445F">
                          <w:t>Women</w:t>
                        </w:r>
                        <w:proofErr w:type="spellEnd"/>
                        <w:r w:rsidR="2C98445F">
                          <w:t xml:space="preserve"> Leadership Initiative</w:t>
                        </w:r>
                        <w:r w:rsidR="00A274C0">
                          <w:t xml:space="preserve"> </w:t>
                        </w:r>
                      </w:p>
                      <w:p w14:paraId="3EF8F32F" w14:textId="2F011156" w:rsidR="002C32F7" w:rsidRDefault="002C32F7" w:rsidP="002C32F7">
                        <w:pPr>
                          <w:ind w:left="360"/>
                        </w:pPr>
                        <w:r>
                          <w:t>Cré</w:t>
                        </w:r>
                        <w:r w:rsidR="00116BA5">
                          <w:t>er</w:t>
                        </w:r>
                        <w:r w:rsidR="00E03305">
                          <w:t xml:space="preserve"> </w:t>
                        </w:r>
                        <w:r>
                          <w:t xml:space="preserve">un </w:t>
                        </w:r>
                        <w:r w:rsidRPr="00E03305">
                          <w:rPr>
                            <w:b/>
                            <w:bCs/>
                          </w:rPr>
                          <w:t>ACCELERATOR LAB</w:t>
                        </w:r>
                        <w:r>
                          <w:t xml:space="preserve">, en charge d’appuyer </w:t>
                        </w:r>
                        <w:r w:rsidR="003647C4">
                          <w:t xml:space="preserve">notamment </w:t>
                        </w:r>
                        <w:r>
                          <w:t>des initiatives pilotes innovantes pour promouvoir l’entreprenariat jeune et féminin</w:t>
                        </w:r>
                        <w:r w:rsidR="00116BA5">
                          <w:t xml:space="preserve"> en incluant la Diaspora comorienne</w:t>
                        </w:r>
                      </w:p>
                      <w:p w14:paraId="4E2E3E32" w14:textId="7AC7A709" w:rsidR="002C32F7" w:rsidRDefault="002C32F7" w:rsidP="00747667">
                        <w:pPr>
                          <w:pStyle w:val="Paragraphedeliste"/>
                          <w:ind w:left="1080"/>
                        </w:pPr>
                      </w:p>
                    </w:tc>
                    <w:tc>
                      <w:tcPr>
                        <w:tcW w:w="0" w:type="auto"/>
                        <w:tcBorders>
                          <w:top w:val="single" w:sz="8" w:space="0" w:color="auto"/>
                          <w:left w:val="nil"/>
                          <w:bottom w:val="single" w:sz="8" w:space="0" w:color="auto"/>
                          <w:right w:val="nil"/>
                        </w:tcBorders>
                        <w:tcMar>
                          <w:top w:w="15" w:type="dxa"/>
                          <w:left w:w="75" w:type="dxa"/>
                          <w:bottom w:w="15" w:type="dxa"/>
                          <w:right w:w="75" w:type="dxa"/>
                        </w:tcMar>
                      </w:tcPr>
                      <w:p w14:paraId="23AB5A3C" w14:textId="3B7F3ED2" w:rsidR="00C8348D" w:rsidRPr="00E5571E" w:rsidRDefault="00C8348D" w:rsidP="008102A6"/>
                      <w:p w14:paraId="5F14D2C3" w14:textId="0ECCBA9D" w:rsidR="00C8348D" w:rsidRPr="00E5571E" w:rsidRDefault="00C8348D" w:rsidP="5550D510">
                        <w:r w:rsidRPr="00E5571E">
                          <w:rPr>
                            <w:color w:val="2B579A"/>
                            <w:shd w:val="clear" w:color="auto" w:fill="E6E6E6"/>
                          </w:rPr>
                          <w:object w:dxaOrig="1440" w:dyaOrig="1440" w14:anchorId="30B0C643">
                            <v:shape id="_x0000_i1066" type="#_x0000_t75" style="width:49.5pt;height:18pt" o:ole="">
                              <v:imagedata r:id="rId25" o:title=""/>
                            </v:shape>
                            <w:control r:id="rId26" w:name="DefaultOcxName211" w:shapeid="_x0000_i1066"/>
                          </w:object>
                        </w:r>
                      </w:p>
                    </w:tc>
                    <w:tc>
                      <w:tcPr>
                        <w:tcW w:w="0" w:type="auto"/>
                        <w:tcBorders>
                          <w:top w:val="single" w:sz="8" w:space="0" w:color="auto"/>
                          <w:left w:val="nil"/>
                          <w:bottom w:val="single" w:sz="8" w:space="0" w:color="auto"/>
                          <w:right w:val="nil"/>
                        </w:tcBorders>
                        <w:tcMar>
                          <w:top w:w="15" w:type="dxa"/>
                          <w:left w:w="75" w:type="dxa"/>
                          <w:bottom w:w="15" w:type="dxa"/>
                          <w:right w:w="75" w:type="dxa"/>
                        </w:tcMar>
                      </w:tcPr>
                      <w:p w14:paraId="3CE6716F" w14:textId="77777777" w:rsidR="00C8348D" w:rsidRPr="00E5571E" w:rsidRDefault="00C8348D" w:rsidP="008102A6"/>
                    </w:tc>
                  </w:tr>
                  <w:tr w:rsidR="009A7E95" w:rsidRPr="00E5571E" w14:paraId="71B7F81E" w14:textId="77777777" w:rsidTr="69A8F6F5">
                    <w:tc>
                      <w:tcPr>
                        <w:tcW w:w="1512" w:type="dxa"/>
                      </w:tcPr>
                      <w:p w14:paraId="17225B35" w14:textId="77777777" w:rsidR="00C8348D" w:rsidRPr="00E5571E" w:rsidRDefault="00C8348D" w:rsidP="008102A6">
                        <w:pPr>
                          <w:rPr>
                            <w:b/>
                            <w:bCs/>
                            <w:i/>
                            <w:iCs/>
                          </w:rPr>
                        </w:pPr>
                      </w:p>
                    </w:tc>
                    <w:tc>
                      <w:tcPr>
                        <w:tcW w:w="1798" w:type="dxa"/>
                        <w:tcBorders>
                          <w:top w:val="single" w:sz="8" w:space="0" w:color="auto"/>
                          <w:left w:val="nil"/>
                          <w:bottom w:val="single" w:sz="8" w:space="0" w:color="auto"/>
                          <w:right w:val="nil"/>
                        </w:tcBorders>
                        <w:tcMar>
                          <w:top w:w="15" w:type="dxa"/>
                          <w:left w:w="75" w:type="dxa"/>
                          <w:bottom w:w="15" w:type="dxa"/>
                          <w:right w:w="75" w:type="dxa"/>
                        </w:tcMar>
                      </w:tcPr>
                      <w:p w14:paraId="1C11C351" w14:textId="77777777" w:rsidR="00C8348D" w:rsidRPr="00E5571E" w:rsidRDefault="00C8348D" w:rsidP="008102A6">
                        <w:r>
                          <w:t>Activité 4</w:t>
                        </w:r>
                      </w:p>
                    </w:tc>
                    <w:tc>
                      <w:tcPr>
                        <w:tcW w:w="0" w:type="auto"/>
                        <w:tcBorders>
                          <w:top w:val="single" w:sz="8" w:space="0" w:color="auto"/>
                          <w:left w:val="nil"/>
                          <w:bottom w:val="single" w:sz="8" w:space="0" w:color="auto"/>
                          <w:right w:val="nil"/>
                        </w:tcBorders>
                        <w:tcMar>
                          <w:top w:w="15" w:type="dxa"/>
                          <w:left w:w="75" w:type="dxa"/>
                          <w:bottom w:w="15" w:type="dxa"/>
                          <w:right w:w="75" w:type="dxa"/>
                        </w:tcMar>
                      </w:tcPr>
                      <w:p w14:paraId="707EC3B4" w14:textId="7BEED150" w:rsidR="00C8348D" w:rsidRPr="00C76F39" w:rsidRDefault="15748559" w:rsidP="5550D510">
                        <w:pPr>
                          <w:rPr>
                            <w:b/>
                            <w:bCs/>
                          </w:rPr>
                        </w:pPr>
                        <w:r w:rsidRPr="00C76F39">
                          <w:rPr>
                            <w:b/>
                            <w:bCs/>
                            <w:color w:val="2B579A"/>
                            <w:shd w:val="clear" w:color="auto" w:fill="E6E6E6"/>
                          </w:rPr>
                          <w:t>ECOSYSTEME ENTREPREUNARIAL : «</w:t>
                        </w:r>
                        <w:r w:rsidRPr="00C76F39">
                          <w:rPr>
                            <w:b/>
                            <w:bCs/>
                            <w:i/>
                            <w:iCs/>
                            <w:color w:val="2B579A"/>
                            <w:shd w:val="clear" w:color="auto" w:fill="E6E6E6"/>
                          </w:rPr>
                          <w:t> le numérique et l’innovation au service de l’intégration </w:t>
                        </w:r>
                        <w:r w:rsidRPr="00C76F39">
                          <w:rPr>
                            <w:b/>
                            <w:bCs/>
                            <w:color w:val="2B579A"/>
                            <w:shd w:val="clear" w:color="auto" w:fill="E6E6E6"/>
                          </w:rPr>
                          <w:t>»</w:t>
                        </w:r>
                        <w:r w:rsidR="4F61951C" w:rsidRPr="00C76F39">
                          <w:rPr>
                            <w:b/>
                            <w:bCs/>
                            <w:color w:val="2B579A"/>
                            <w:shd w:val="clear" w:color="auto" w:fill="E6E6E6"/>
                          </w:rPr>
                          <w:t xml:space="preserve"> : création d’opportunités d’innovation des entrepreneurs comoriens jeunes et féminins afin de renforcer leurs compétences pour utiliser le numérique, créer de nouveaux services et de nouveaux marchés à l’interne </w:t>
                        </w:r>
                      </w:p>
                      <w:p w14:paraId="4A26C2F5" w14:textId="75B551D8" w:rsidR="00C8348D" w:rsidRDefault="4F61951C" w:rsidP="00C8348D">
                        <w:pPr>
                          <w:pStyle w:val="Paragraphedeliste"/>
                          <w:numPr>
                            <w:ilvl w:val="0"/>
                            <w:numId w:val="10"/>
                          </w:numPr>
                        </w:pPr>
                        <w:r>
                          <w:t>Form</w:t>
                        </w:r>
                        <w:r w:rsidR="00B802B4">
                          <w:t>er</w:t>
                        </w:r>
                        <w:r>
                          <w:t xml:space="preserve"> </w:t>
                        </w:r>
                        <w:r w:rsidR="00B802B4">
                          <w:t>l</w:t>
                        </w:r>
                        <w:r>
                          <w:t>es jeunes et des femmes au</w:t>
                        </w:r>
                        <w:r w:rsidR="001B330C">
                          <w:t xml:space="preserve"> </w:t>
                        </w:r>
                        <w:r w:rsidR="00E91151">
                          <w:t>numérique</w:t>
                        </w:r>
                        <w:r w:rsidR="008F51F9">
                          <w:t xml:space="preserve"> (</w:t>
                        </w:r>
                        <w:r w:rsidR="00E91151">
                          <w:t>alphabétisation numérique</w:t>
                        </w:r>
                        <w:r w:rsidR="008F51F9">
                          <w:t xml:space="preserve">) et </w:t>
                        </w:r>
                        <w:r w:rsidR="00E91151">
                          <w:t>au</w:t>
                        </w:r>
                        <w:r>
                          <w:t xml:space="preserve"> e-commerce en utilisant des outils simples (boutique en ligne, paiement par téléphone, etc.)</w:t>
                        </w:r>
                      </w:p>
                      <w:p w14:paraId="156615D9" w14:textId="6ABA1A18" w:rsidR="00A87C41" w:rsidRDefault="00A87C41" w:rsidP="00C8348D">
                        <w:pPr>
                          <w:pStyle w:val="Paragraphedeliste"/>
                          <w:numPr>
                            <w:ilvl w:val="0"/>
                            <w:numId w:val="10"/>
                          </w:numPr>
                        </w:pPr>
                        <w:r>
                          <w:t>M</w:t>
                        </w:r>
                        <w:r w:rsidR="00B802B4">
                          <w:t>ettre</w:t>
                        </w:r>
                        <w:r w:rsidR="009543FA">
                          <w:t xml:space="preserve"> </w:t>
                        </w:r>
                        <w:r>
                          <w:t xml:space="preserve">d’espaces de coworking / internet </w:t>
                        </w:r>
                        <w:r w:rsidR="00B802B4">
                          <w:t xml:space="preserve">locaux </w:t>
                        </w:r>
                        <w:r>
                          <w:t xml:space="preserve">pour favoriser la pénétration des outils du numériques dans les espaces </w:t>
                        </w:r>
                        <w:r w:rsidR="009543FA">
                          <w:t>publics tels que les Universités</w:t>
                        </w:r>
                        <w:r>
                          <w:t xml:space="preserve"> </w:t>
                        </w:r>
                      </w:p>
                      <w:p w14:paraId="69AA23FC" w14:textId="79C52332" w:rsidR="00C8348D" w:rsidRPr="00E5571E" w:rsidRDefault="00116BA5" w:rsidP="00116BA5">
                        <w:pPr>
                          <w:pStyle w:val="Paragraphedeliste"/>
                          <w:numPr>
                            <w:ilvl w:val="0"/>
                            <w:numId w:val="10"/>
                          </w:numPr>
                        </w:pPr>
                        <w:r>
                          <w:t>Appuyer l</w:t>
                        </w:r>
                        <w:r w:rsidR="0024280E">
                          <w:t xml:space="preserve">e potentiel de la </w:t>
                        </w:r>
                        <w:proofErr w:type="spellStart"/>
                        <w:r>
                          <w:t>MarketPlace</w:t>
                        </w:r>
                        <w:proofErr w:type="spellEnd"/>
                        <w:r>
                          <w:t xml:space="preserve"> des CRDE (pour les produits agricoles) </w:t>
                        </w:r>
                        <w:r w:rsidR="0024280E">
                          <w:t xml:space="preserve">comme plateforme pilote du e-commerce </w:t>
                        </w:r>
                        <w:r>
                          <w:t>et e</w:t>
                        </w:r>
                        <w:r w:rsidR="00B802B4">
                          <w:t xml:space="preserve">xplorer des partenariats avec le secteur privé pour favoriser le paiement par téléphone (mobile money) </w:t>
                        </w:r>
                        <w:r w:rsidR="0024280E">
                          <w:t xml:space="preserve">et les services y relatifs </w:t>
                        </w:r>
                        <w:r w:rsidR="00B802B4">
                          <w:t>(en collaboration avec l'ACCLAB)</w:t>
                        </w:r>
                      </w:p>
                    </w:tc>
                    <w:tc>
                      <w:tcPr>
                        <w:tcW w:w="0" w:type="auto"/>
                        <w:tcBorders>
                          <w:top w:val="single" w:sz="8" w:space="0" w:color="auto"/>
                          <w:left w:val="nil"/>
                          <w:bottom w:val="single" w:sz="8" w:space="0" w:color="auto"/>
                          <w:right w:val="nil"/>
                        </w:tcBorders>
                        <w:tcMar>
                          <w:top w:w="15" w:type="dxa"/>
                          <w:left w:w="75" w:type="dxa"/>
                          <w:bottom w:w="15" w:type="dxa"/>
                          <w:right w:w="75" w:type="dxa"/>
                        </w:tcMar>
                      </w:tcPr>
                      <w:p w14:paraId="70B32224" w14:textId="61527BEE" w:rsidR="00C8348D" w:rsidRPr="00E5571E" w:rsidRDefault="00C8348D" w:rsidP="008102A6"/>
                      <w:p w14:paraId="3F33738E" w14:textId="72E9A147" w:rsidR="00C8348D" w:rsidRPr="00E5571E" w:rsidRDefault="00C8348D" w:rsidP="5550D510">
                        <w:r w:rsidRPr="00E5571E">
                          <w:rPr>
                            <w:color w:val="2B579A"/>
                            <w:shd w:val="clear" w:color="auto" w:fill="E6E6E6"/>
                          </w:rPr>
                          <w:object w:dxaOrig="1440" w:dyaOrig="1440" w14:anchorId="08B2B928">
                            <v:shape id="_x0000_i1070" type="#_x0000_t75" style="width:49.5pt;height:18pt" o:ole="">
                              <v:imagedata r:id="rId27" o:title=""/>
                            </v:shape>
                            <w:control r:id="rId28" w:name="DefaultOcxName22" w:shapeid="_x0000_i1070"/>
                          </w:object>
                        </w:r>
                      </w:p>
                    </w:tc>
                    <w:tc>
                      <w:tcPr>
                        <w:tcW w:w="0" w:type="auto"/>
                        <w:tcBorders>
                          <w:top w:val="single" w:sz="8" w:space="0" w:color="auto"/>
                          <w:left w:val="nil"/>
                          <w:bottom w:val="single" w:sz="8" w:space="0" w:color="auto"/>
                          <w:right w:val="nil"/>
                        </w:tcBorders>
                        <w:tcMar>
                          <w:top w:w="15" w:type="dxa"/>
                          <w:left w:w="75" w:type="dxa"/>
                          <w:bottom w:w="15" w:type="dxa"/>
                          <w:right w:w="75" w:type="dxa"/>
                        </w:tcMar>
                      </w:tcPr>
                      <w:p w14:paraId="33E4F5D7" w14:textId="77777777" w:rsidR="00C8348D" w:rsidRPr="00E5571E" w:rsidRDefault="00C8348D" w:rsidP="008102A6"/>
                    </w:tc>
                  </w:tr>
                  <w:tr w:rsidR="009A7E95" w:rsidRPr="00E5571E" w14:paraId="42C552A5" w14:textId="77777777" w:rsidTr="69A8F6F5">
                    <w:tc>
                      <w:tcPr>
                        <w:tcW w:w="1512" w:type="dxa"/>
                      </w:tcPr>
                      <w:p w14:paraId="39B68DE3" w14:textId="77777777" w:rsidR="00C8348D" w:rsidRPr="00E5571E" w:rsidRDefault="00C8348D" w:rsidP="008102A6">
                        <w:pPr>
                          <w:rPr>
                            <w:b/>
                            <w:bCs/>
                            <w:i/>
                            <w:iCs/>
                          </w:rPr>
                        </w:pPr>
                      </w:p>
                    </w:tc>
                    <w:tc>
                      <w:tcPr>
                        <w:tcW w:w="1798" w:type="dxa"/>
                        <w:tcBorders>
                          <w:top w:val="single" w:sz="8" w:space="0" w:color="auto"/>
                          <w:left w:val="nil"/>
                          <w:bottom w:val="single" w:sz="8" w:space="0" w:color="auto"/>
                          <w:right w:val="nil"/>
                        </w:tcBorders>
                        <w:tcMar>
                          <w:top w:w="15" w:type="dxa"/>
                          <w:left w:w="75" w:type="dxa"/>
                          <w:bottom w:w="15" w:type="dxa"/>
                          <w:right w:w="75" w:type="dxa"/>
                        </w:tcMar>
                      </w:tcPr>
                      <w:p w14:paraId="2B6E0207" w14:textId="77777777" w:rsidR="00C8348D" w:rsidRDefault="00C8348D" w:rsidP="008102A6">
                        <w:r>
                          <w:t>Activity 5</w:t>
                        </w:r>
                      </w:p>
                    </w:tc>
                    <w:tc>
                      <w:tcPr>
                        <w:tcW w:w="0" w:type="auto"/>
                        <w:tcBorders>
                          <w:top w:val="single" w:sz="8" w:space="0" w:color="auto"/>
                          <w:left w:val="nil"/>
                          <w:bottom w:val="single" w:sz="8" w:space="0" w:color="auto"/>
                          <w:right w:val="nil"/>
                        </w:tcBorders>
                        <w:tcMar>
                          <w:top w:w="15" w:type="dxa"/>
                          <w:left w:w="75" w:type="dxa"/>
                          <w:bottom w:w="15" w:type="dxa"/>
                          <w:right w:w="75" w:type="dxa"/>
                        </w:tcMar>
                      </w:tcPr>
                      <w:p w14:paraId="365081BD" w14:textId="77777777" w:rsidR="00C8348D" w:rsidRPr="00E03305" w:rsidRDefault="00C8348D" w:rsidP="008102A6">
                        <w:pPr>
                          <w:rPr>
                            <w:b/>
                            <w:bCs/>
                          </w:rPr>
                        </w:pPr>
                        <w:r w:rsidRPr="00E03305">
                          <w:rPr>
                            <w:b/>
                            <w:bCs/>
                            <w:color w:val="44546A" w:themeColor="text2"/>
                            <w:highlight w:val="lightGray"/>
                          </w:rPr>
                          <w:t>suivi-évaluation et stratégie de communication </w:t>
                        </w:r>
                        <w:r w:rsidRPr="00E03305">
                          <w:rPr>
                            <w:b/>
                            <w:bCs/>
                            <w:highlight w:val="lightGray"/>
                          </w:rPr>
                          <w:t>:</w:t>
                        </w:r>
                      </w:p>
                      <w:p w14:paraId="498DF62B" w14:textId="6CDD4964" w:rsidR="00C8348D" w:rsidRDefault="4F61951C" w:rsidP="00C8348D">
                        <w:pPr>
                          <w:pStyle w:val="Paragraphedeliste"/>
                          <w:numPr>
                            <w:ilvl w:val="0"/>
                            <w:numId w:val="10"/>
                          </w:numPr>
                        </w:pPr>
                        <w:r>
                          <w:t>Mise en place d’un système de M&amp;E robuste</w:t>
                        </w:r>
                        <w:r w:rsidR="52C2F16D">
                          <w:t>, innovant</w:t>
                        </w:r>
                        <w:r>
                          <w:t xml:space="preserve"> et sensible au genre</w:t>
                        </w:r>
                      </w:p>
                      <w:p w14:paraId="6629A689" w14:textId="77777777" w:rsidR="00C8348D" w:rsidRDefault="00C8348D" w:rsidP="00C8348D">
                        <w:pPr>
                          <w:pStyle w:val="Paragraphedeliste"/>
                          <w:numPr>
                            <w:ilvl w:val="0"/>
                            <w:numId w:val="10"/>
                          </w:numPr>
                        </w:pPr>
                        <w:r>
                          <w:t>Activités de communication et plaidoyer autour du projet et de la ZLECAf qui met en avant la place des femmes dans ce processus et les opportunités disponibles</w:t>
                        </w:r>
                      </w:p>
                      <w:p w14:paraId="66E6CA95" w14:textId="77777777" w:rsidR="00C8348D" w:rsidRPr="00E5571E" w:rsidRDefault="00C8348D" w:rsidP="00C76F39"/>
                    </w:tc>
                    <w:tc>
                      <w:tcPr>
                        <w:tcW w:w="0" w:type="auto"/>
                        <w:tcBorders>
                          <w:top w:val="single" w:sz="8" w:space="0" w:color="auto"/>
                          <w:left w:val="nil"/>
                          <w:bottom w:val="single" w:sz="8" w:space="0" w:color="auto"/>
                          <w:right w:val="nil"/>
                        </w:tcBorders>
                        <w:tcMar>
                          <w:top w:w="15" w:type="dxa"/>
                          <w:left w:w="75" w:type="dxa"/>
                          <w:bottom w:w="15" w:type="dxa"/>
                          <w:right w:w="75" w:type="dxa"/>
                        </w:tcMar>
                      </w:tcPr>
                      <w:p w14:paraId="291A4FFC" w14:textId="1C4A2129" w:rsidR="00C8348D" w:rsidRPr="00E5571E" w:rsidRDefault="00C8348D" w:rsidP="008102A6"/>
                      <w:p w14:paraId="3EF696C9" w14:textId="0E945581" w:rsidR="00C8348D" w:rsidRPr="00E5571E" w:rsidRDefault="00C8348D" w:rsidP="5550D510">
                        <w:r w:rsidRPr="00E5571E">
                          <w:rPr>
                            <w:color w:val="2B579A"/>
                            <w:shd w:val="clear" w:color="auto" w:fill="E6E6E6"/>
                          </w:rPr>
                          <w:object w:dxaOrig="1440" w:dyaOrig="1440" w14:anchorId="4B75EB94">
                            <v:shape id="_x0000_i1074" type="#_x0000_t75" style="width:49.5pt;height:18pt" o:ole="">
                              <v:imagedata r:id="rId29" o:title=""/>
                            </v:shape>
                            <w:control r:id="rId30" w:name="DefaultOcxName231" w:shapeid="_x0000_i1074"/>
                          </w:object>
                        </w:r>
                      </w:p>
                    </w:tc>
                    <w:tc>
                      <w:tcPr>
                        <w:tcW w:w="0" w:type="auto"/>
                        <w:tcBorders>
                          <w:top w:val="single" w:sz="8" w:space="0" w:color="auto"/>
                          <w:left w:val="nil"/>
                          <w:bottom w:val="single" w:sz="8" w:space="0" w:color="auto"/>
                          <w:right w:val="nil"/>
                        </w:tcBorders>
                        <w:tcMar>
                          <w:top w:w="15" w:type="dxa"/>
                          <w:left w:w="75" w:type="dxa"/>
                          <w:bottom w:w="15" w:type="dxa"/>
                          <w:right w:w="75" w:type="dxa"/>
                        </w:tcMar>
                      </w:tcPr>
                      <w:p w14:paraId="15038300" w14:textId="77777777" w:rsidR="00C8348D" w:rsidRPr="00E5571E" w:rsidRDefault="00C8348D" w:rsidP="008102A6"/>
                    </w:tc>
                  </w:tr>
                  <w:tr w:rsidR="009A7E95" w:rsidRPr="00E5571E" w14:paraId="4ED23EFF" w14:textId="77777777" w:rsidTr="69A8F6F5">
                    <w:tc>
                      <w:tcPr>
                        <w:tcW w:w="1512" w:type="dxa"/>
                      </w:tcPr>
                      <w:p w14:paraId="27004DE6" w14:textId="77777777" w:rsidR="00C8348D" w:rsidRPr="00E5571E" w:rsidRDefault="00C8348D" w:rsidP="008102A6">
                        <w:pPr>
                          <w:rPr>
                            <w:b/>
                            <w:bCs/>
                            <w:i/>
                            <w:iCs/>
                          </w:rPr>
                        </w:pPr>
                      </w:p>
                    </w:tc>
                    <w:tc>
                      <w:tcPr>
                        <w:tcW w:w="1798" w:type="dxa"/>
                        <w:tcBorders>
                          <w:top w:val="single" w:sz="8" w:space="0" w:color="auto"/>
                          <w:left w:val="nil"/>
                          <w:bottom w:val="single" w:sz="8" w:space="0" w:color="auto"/>
                          <w:right w:val="nil"/>
                        </w:tcBorders>
                        <w:tcMar>
                          <w:top w:w="15" w:type="dxa"/>
                          <w:left w:w="75" w:type="dxa"/>
                          <w:bottom w:w="15" w:type="dxa"/>
                          <w:right w:w="75" w:type="dxa"/>
                        </w:tcMar>
                      </w:tcPr>
                      <w:p w14:paraId="51B92EBF" w14:textId="77777777" w:rsidR="00C8348D" w:rsidRDefault="00C8348D" w:rsidP="008102A6">
                        <w:r>
                          <w:t>TOTAL EN USD</w:t>
                        </w:r>
                      </w:p>
                    </w:tc>
                    <w:tc>
                      <w:tcPr>
                        <w:tcW w:w="0" w:type="auto"/>
                        <w:tcBorders>
                          <w:top w:val="single" w:sz="8" w:space="0" w:color="auto"/>
                          <w:left w:val="nil"/>
                          <w:bottom w:val="single" w:sz="8" w:space="0" w:color="auto"/>
                          <w:right w:val="nil"/>
                        </w:tcBorders>
                        <w:tcMar>
                          <w:top w:w="15" w:type="dxa"/>
                          <w:left w:w="75" w:type="dxa"/>
                          <w:bottom w:w="15" w:type="dxa"/>
                          <w:right w:w="75" w:type="dxa"/>
                        </w:tcMar>
                      </w:tcPr>
                      <w:p w14:paraId="48432616" w14:textId="77777777" w:rsidR="00C8348D" w:rsidRDefault="00C8348D" w:rsidP="008102A6">
                        <w:pPr>
                          <w:pStyle w:val="Paragraphedeliste"/>
                          <w:ind w:left="1080"/>
                        </w:pPr>
                      </w:p>
                    </w:tc>
                    <w:tc>
                      <w:tcPr>
                        <w:tcW w:w="0" w:type="auto"/>
                        <w:tcBorders>
                          <w:top w:val="single" w:sz="8" w:space="0" w:color="auto"/>
                          <w:left w:val="nil"/>
                          <w:bottom w:val="single" w:sz="8" w:space="0" w:color="auto"/>
                          <w:right w:val="nil"/>
                        </w:tcBorders>
                        <w:tcMar>
                          <w:top w:w="15" w:type="dxa"/>
                          <w:left w:w="75" w:type="dxa"/>
                          <w:bottom w:w="15" w:type="dxa"/>
                          <w:right w:w="75" w:type="dxa"/>
                        </w:tcMar>
                      </w:tcPr>
                      <w:p w14:paraId="5318E585" w14:textId="77777777" w:rsidR="00C8348D" w:rsidRDefault="00C8348D" w:rsidP="008102A6">
                        <w:r>
                          <w:t>1 500 000</w:t>
                        </w:r>
                      </w:p>
                    </w:tc>
                    <w:tc>
                      <w:tcPr>
                        <w:tcW w:w="0" w:type="auto"/>
                        <w:tcBorders>
                          <w:top w:val="single" w:sz="8" w:space="0" w:color="auto"/>
                          <w:left w:val="nil"/>
                          <w:bottom w:val="single" w:sz="8" w:space="0" w:color="auto"/>
                          <w:right w:val="nil"/>
                        </w:tcBorders>
                        <w:tcMar>
                          <w:top w:w="15" w:type="dxa"/>
                          <w:left w:w="75" w:type="dxa"/>
                          <w:bottom w:w="15" w:type="dxa"/>
                          <w:right w:w="75" w:type="dxa"/>
                        </w:tcMar>
                      </w:tcPr>
                      <w:p w14:paraId="7D29FCC0" w14:textId="77777777" w:rsidR="00C8348D" w:rsidRPr="00E5571E" w:rsidRDefault="00C8348D" w:rsidP="008102A6"/>
                    </w:tc>
                  </w:tr>
                </w:tbl>
                <w:p w14:paraId="72C7902E" w14:textId="77777777" w:rsidR="00C8348D" w:rsidRPr="00E5571E" w:rsidRDefault="00C8348D" w:rsidP="008102A6">
                  <w:pPr>
                    <w:rPr>
                      <w:vanish/>
                    </w:rPr>
                  </w:pPr>
                </w:p>
                <w:tbl>
                  <w:tblPr>
                    <w:tblW w:w="13950" w:type="dxa"/>
                    <w:tblCellSpacing w:w="0" w:type="dxa"/>
                    <w:tblCellMar>
                      <w:left w:w="0" w:type="dxa"/>
                      <w:right w:w="0" w:type="dxa"/>
                    </w:tblCellMar>
                    <w:tblLook w:val="04A0" w:firstRow="1" w:lastRow="0" w:firstColumn="1" w:lastColumn="0" w:noHBand="0" w:noVBand="1"/>
                  </w:tblPr>
                  <w:tblGrid>
                    <w:gridCol w:w="2741"/>
                    <w:gridCol w:w="11209"/>
                  </w:tblGrid>
                  <w:tr w:rsidR="00C8348D" w:rsidRPr="00E5571E" w14:paraId="2B2BEAC5" w14:textId="77777777" w:rsidTr="008102A6">
                    <w:trPr>
                      <w:tblCellSpacing w:w="0" w:type="dxa"/>
                    </w:trPr>
                    <w:tc>
                      <w:tcPr>
                        <w:tcW w:w="300" w:type="dxa"/>
                        <w:vAlign w:val="center"/>
                        <w:hideMark/>
                      </w:tcPr>
                      <w:p w14:paraId="6CF322DA" w14:textId="77777777" w:rsidR="00C8348D" w:rsidRPr="00E5571E" w:rsidRDefault="00C8348D" w:rsidP="008102A6">
                        <w:r w:rsidRPr="00E5571E">
                          <w:rPr>
                            <w:noProof/>
                            <w:color w:val="2B579A"/>
                            <w:shd w:val="clear" w:color="auto" w:fill="E6E6E6"/>
                          </w:rPr>
                          <w:drawing>
                            <wp:inline distT="0" distB="0" distL="0" distR="0" wp14:anchorId="1EB4CC21" wp14:editId="1907CB0F">
                              <wp:extent cx="1740535" cy="23050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0535" cy="230505"/>
                                      </a:xfrm>
                                      <a:prstGeom prst="rect">
                                        <a:avLst/>
                                      </a:prstGeom>
                                      <a:noFill/>
                                      <a:ln>
                                        <a:noFill/>
                                      </a:ln>
                                    </pic:spPr>
                                  </pic:pic>
                                </a:graphicData>
                              </a:graphic>
                            </wp:inline>
                          </w:drawing>
                        </w:r>
                      </w:p>
                    </w:tc>
                    <w:tc>
                      <w:tcPr>
                        <w:tcW w:w="0" w:type="auto"/>
                        <w:vAlign w:val="center"/>
                        <w:hideMark/>
                      </w:tcPr>
                      <w:p w14:paraId="468D05FF" w14:textId="77777777" w:rsidR="00C8348D" w:rsidRPr="00E5571E" w:rsidRDefault="009D1B09" w:rsidP="008102A6">
                        <w:hyperlink r:id="rId31" w:history="1">
                          <w:proofErr w:type="spellStart"/>
                          <w:r w:rsidR="00C8348D" w:rsidRPr="00E5571E">
                            <w:rPr>
                              <w:rStyle w:val="Lienhypertexte"/>
                            </w:rPr>
                            <w:t>Add</w:t>
                          </w:r>
                          <w:proofErr w:type="spellEnd"/>
                          <w:r w:rsidR="00C8348D" w:rsidRPr="00E5571E">
                            <w:rPr>
                              <w:rStyle w:val="Lienhypertexte"/>
                            </w:rPr>
                            <w:t xml:space="preserve"> Activity</w:t>
                          </w:r>
                        </w:hyperlink>
                      </w:p>
                    </w:tc>
                  </w:tr>
                </w:tbl>
                <w:p w14:paraId="4EDA46F5" w14:textId="77777777" w:rsidR="00C8348D" w:rsidRPr="00E5571E" w:rsidRDefault="00C8348D" w:rsidP="008102A6"/>
              </w:tc>
            </w:tr>
          </w:tbl>
          <w:p w14:paraId="288A8E7B" w14:textId="77777777" w:rsidR="009277EE" w:rsidRPr="00E5571E" w:rsidRDefault="009277EE" w:rsidP="009277EE"/>
        </w:tc>
      </w:tr>
      <w:tr w:rsidR="009277EE" w:rsidRPr="00E5571E" w14:paraId="2DB71C95" w14:textId="77777777" w:rsidTr="69A8F6F5">
        <w:trPr>
          <w:trHeight w:val="675"/>
          <w:jc w:val="center"/>
        </w:trPr>
        <w:tc>
          <w:tcPr>
            <w:tcW w:w="0" w:type="auto"/>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tcMar>
              <w:top w:w="60" w:type="dxa"/>
              <w:left w:w="330" w:type="dxa"/>
              <w:bottom w:w="60" w:type="dxa"/>
              <w:right w:w="330" w:type="dxa"/>
            </w:tcMar>
            <w:vAlign w:val="center"/>
            <w:hideMark/>
          </w:tcPr>
          <w:p w14:paraId="2697C85C" w14:textId="77777777" w:rsidR="009277EE" w:rsidRPr="00E5571E" w:rsidRDefault="009277EE" w:rsidP="009277EE">
            <w:pPr>
              <w:rPr>
                <w:lang w:val="en-US"/>
              </w:rPr>
            </w:pPr>
            <w:r w:rsidRPr="00E5571E">
              <w:rPr>
                <w:b/>
                <w:bCs/>
                <w:lang w:val="en-US"/>
              </w:rPr>
              <w:lastRenderedPageBreak/>
              <w:t>Key Partners:</w:t>
            </w:r>
          </w:p>
          <w:p w14:paraId="27EE44D2" w14:textId="77777777" w:rsidR="009277EE" w:rsidRPr="00E5571E" w:rsidRDefault="009277EE" w:rsidP="009277EE">
            <w:pPr>
              <w:rPr>
                <w:lang w:val="en-US"/>
              </w:rPr>
            </w:pPr>
            <w:r w:rsidRPr="00E5571E">
              <w:rPr>
                <w:i/>
                <w:iCs/>
                <w:lang w:val="en-US"/>
              </w:rPr>
              <w:lastRenderedPageBreak/>
              <w:t>The submitting CO should identify the key government partners and/or other development partners, along with a description on the role of the partner in the activities and if/how they will contribute to the project.</w:t>
            </w:r>
          </w:p>
          <w:tbl>
            <w:tblPr>
              <w:tblW w:w="14235" w:type="dxa"/>
              <w:tblCellMar>
                <w:top w:w="15" w:type="dxa"/>
                <w:left w:w="15" w:type="dxa"/>
                <w:bottom w:w="15" w:type="dxa"/>
                <w:right w:w="15" w:type="dxa"/>
              </w:tblCellMar>
              <w:tblLook w:val="04A0" w:firstRow="1" w:lastRow="0" w:firstColumn="1" w:lastColumn="0" w:noHBand="0" w:noVBand="1"/>
              <w:tblCaption w:val=""/>
            </w:tblPr>
            <w:tblGrid>
              <w:gridCol w:w="1200"/>
              <w:gridCol w:w="2728"/>
              <w:gridCol w:w="176"/>
              <w:gridCol w:w="10131"/>
            </w:tblGrid>
            <w:tr w:rsidR="009277EE" w:rsidRPr="00E5571E" w14:paraId="32023B89" w14:textId="77777777" w:rsidTr="6BD10D1A">
              <w:trPr>
                <w:tblHeader/>
              </w:trPr>
              <w:tc>
                <w:tcPr>
                  <w:tcW w:w="1219" w:type="dxa"/>
                  <w:tcBorders>
                    <w:top w:val="nil"/>
                    <w:left w:val="nil"/>
                    <w:bottom w:val="nil"/>
                    <w:right w:val="nil"/>
                  </w:tcBorders>
                  <w:shd w:val="clear" w:color="auto" w:fill="F2F2F2" w:themeFill="background1" w:themeFillShade="F2"/>
                  <w:tcMar>
                    <w:top w:w="0" w:type="dxa"/>
                    <w:left w:w="0" w:type="dxa"/>
                    <w:bottom w:w="0" w:type="dxa"/>
                    <w:right w:w="0" w:type="dxa"/>
                  </w:tcMar>
                  <w:vAlign w:val="center"/>
                  <w:hideMark/>
                </w:tcPr>
                <w:p w14:paraId="7AD2E621" w14:textId="77777777" w:rsidR="009277EE" w:rsidRPr="00E5571E" w:rsidRDefault="009277EE" w:rsidP="009277EE">
                  <w:pPr>
                    <w:rPr>
                      <w:b/>
                      <w:bCs/>
                    </w:rPr>
                  </w:pPr>
                  <w:r w:rsidRPr="00E5571E">
                    <w:rPr>
                      <w:b/>
                      <w:bCs/>
                    </w:rPr>
                    <w:t xml:space="preserve">Table Control </w:t>
                  </w:r>
                  <w:proofErr w:type="spellStart"/>
                  <w:r w:rsidRPr="00E5571E">
                    <w:rPr>
                      <w:b/>
                      <w:bCs/>
                    </w:rPr>
                    <w:t>Functionality</w:t>
                  </w:r>
                  <w:proofErr w:type="spellEnd"/>
                </w:p>
              </w:tc>
              <w:tc>
                <w:tcPr>
                  <w:tcW w:w="2728" w:type="dxa"/>
                  <w:tcBorders>
                    <w:top w:val="single" w:sz="8" w:space="0" w:color="auto"/>
                    <w:left w:val="nil"/>
                    <w:bottom w:val="single" w:sz="8" w:space="0" w:color="auto"/>
                    <w:right w:val="nil"/>
                  </w:tcBorders>
                  <w:shd w:val="clear" w:color="auto" w:fill="F2F2F2" w:themeFill="background1" w:themeFillShade="F2"/>
                  <w:tcMar>
                    <w:top w:w="15" w:type="dxa"/>
                    <w:left w:w="75" w:type="dxa"/>
                    <w:bottom w:w="15" w:type="dxa"/>
                    <w:right w:w="75" w:type="dxa"/>
                  </w:tcMar>
                  <w:hideMark/>
                </w:tcPr>
                <w:p w14:paraId="07D388E3" w14:textId="77777777" w:rsidR="009277EE" w:rsidRPr="00E5571E" w:rsidRDefault="009277EE" w:rsidP="009277EE">
                  <w:pPr>
                    <w:rPr>
                      <w:i/>
                      <w:iCs/>
                    </w:rPr>
                  </w:pPr>
                  <w:r w:rsidRPr="00E5571E">
                    <w:rPr>
                      <w:b/>
                      <w:bCs/>
                      <w:i/>
                      <w:iCs/>
                    </w:rPr>
                    <w:t>Partner</w:t>
                  </w:r>
                </w:p>
              </w:tc>
              <w:tc>
                <w:tcPr>
                  <w:tcW w:w="10288" w:type="dxa"/>
                  <w:gridSpan w:val="2"/>
                  <w:tcBorders>
                    <w:top w:val="single" w:sz="8" w:space="0" w:color="auto"/>
                    <w:left w:val="nil"/>
                    <w:bottom w:val="single" w:sz="8" w:space="0" w:color="auto"/>
                    <w:right w:val="nil"/>
                  </w:tcBorders>
                  <w:shd w:val="clear" w:color="auto" w:fill="F2F2F2" w:themeFill="background1" w:themeFillShade="F2"/>
                  <w:tcMar>
                    <w:top w:w="15" w:type="dxa"/>
                    <w:left w:w="75" w:type="dxa"/>
                    <w:bottom w:w="15" w:type="dxa"/>
                    <w:right w:w="75" w:type="dxa"/>
                  </w:tcMar>
                  <w:hideMark/>
                </w:tcPr>
                <w:p w14:paraId="59371A8B" w14:textId="77777777" w:rsidR="009277EE" w:rsidRPr="00E5571E" w:rsidRDefault="009277EE" w:rsidP="009277EE">
                  <w:pPr>
                    <w:rPr>
                      <w:i/>
                      <w:iCs/>
                    </w:rPr>
                  </w:pPr>
                  <w:proofErr w:type="spellStart"/>
                  <w:r w:rsidRPr="00E5571E">
                    <w:rPr>
                      <w:b/>
                      <w:bCs/>
                      <w:i/>
                      <w:iCs/>
                    </w:rPr>
                    <w:t>Role</w:t>
                  </w:r>
                  <w:proofErr w:type="spellEnd"/>
                  <w:r w:rsidRPr="00E5571E">
                    <w:rPr>
                      <w:b/>
                      <w:bCs/>
                      <w:i/>
                      <w:iCs/>
                    </w:rPr>
                    <w:t xml:space="preserve"> Description</w:t>
                  </w:r>
                </w:p>
              </w:tc>
            </w:tr>
            <w:tr w:rsidR="009277EE" w:rsidRPr="00E5571E" w14:paraId="7AE4B1DA" w14:textId="77777777" w:rsidTr="6BD10D1A">
              <w:tc>
                <w:tcPr>
                  <w:tcW w:w="1219" w:type="dxa"/>
                  <w:hideMark/>
                </w:tcPr>
                <w:p w14:paraId="1AB2C5F9" w14:textId="77777777" w:rsidR="009277EE" w:rsidRPr="00E5571E" w:rsidRDefault="009277EE" w:rsidP="009277EE">
                  <w:pPr>
                    <w:rPr>
                      <w:b/>
                      <w:bCs/>
                      <w:i/>
                      <w:iCs/>
                    </w:rPr>
                  </w:pPr>
                </w:p>
              </w:tc>
              <w:tc>
                <w:tcPr>
                  <w:tcW w:w="2970" w:type="dxa"/>
                  <w:gridSpan w:val="2"/>
                  <w:tcBorders>
                    <w:top w:val="single" w:sz="8" w:space="0" w:color="auto"/>
                    <w:left w:val="nil"/>
                    <w:bottom w:val="single" w:sz="8" w:space="0" w:color="auto"/>
                    <w:right w:val="nil"/>
                  </w:tcBorders>
                  <w:tcMar>
                    <w:top w:w="15" w:type="dxa"/>
                    <w:left w:w="75" w:type="dxa"/>
                    <w:bottom w:w="15" w:type="dxa"/>
                    <w:right w:w="75" w:type="dxa"/>
                  </w:tcMar>
                  <w:hideMark/>
                </w:tcPr>
                <w:p w14:paraId="576194B5" w14:textId="173BDE4D" w:rsidR="009277EE" w:rsidRPr="00E5571E" w:rsidRDefault="01CA7FF1" w:rsidP="009277EE">
                  <w:r>
                    <w:t>Direction de l’économie</w:t>
                  </w:r>
                  <w:r w:rsidR="03836AB5">
                    <w:t xml:space="preserve"> </w:t>
                  </w: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5592C6E2" w14:textId="6C3D85BA" w:rsidR="009277EE" w:rsidRPr="00E5571E" w:rsidRDefault="009277EE" w:rsidP="009277EE">
                  <w:r w:rsidRPr="00E5571E">
                    <w:t>​</w:t>
                  </w:r>
                  <w:r>
                    <w:t>en charge du pilotage de l’intégration de l’Union des Comores au sein de la ZLECAf. Dans le cadre de ce projet, il obtiendra l’appui-conseil du PNUD pour mener le processus d’intégration ainsi que l’appui technique et financier nécessaire à la finalisation du cadre normatif</w:t>
                  </w:r>
                </w:p>
              </w:tc>
            </w:tr>
            <w:tr w:rsidR="009277EE" w:rsidRPr="00E5571E" w14:paraId="328D9BBD" w14:textId="77777777" w:rsidTr="6BD10D1A">
              <w:tc>
                <w:tcPr>
                  <w:tcW w:w="1219" w:type="dxa"/>
                </w:tcPr>
                <w:p w14:paraId="67C011AA" w14:textId="77777777" w:rsidR="009277EE" w:rsidRPr="00E5571E" w:rsidRDefault="009277EE" w:rsidP="009277EE">
                  <w:pPr>
                    <w:rPr>
                      <w:b/>
                      <w:bCs/>
                      <w:i/>
                      <w:iCs/>
                    </w:rPr>
                  </w:pPr>
                </w:p>
              </w:tc>
              <w:tc>
                <w:tcPr>
                  <w:tcW w:w="2970" w:type="dxa"/>
                  <w:gridSpan w:val="2"/>
                  <w:tcBorders>
                    <w:top w:val="single" w:sz="8" w:space="0" w:color="auto"/>
                    <w:left w:val="nil"/>
                    <w:bottom w:val="single" w:sz="8" w:space="0" w:color="auto"/>
                    <w:right w:val="nil"/>
                  </w:tcBorders>
                  <w:tcMar>
                    <w:top w:w="15" w:type="dxa"/>
                    <w:left w:w="75" w:type="dxa"/>
                    <w:bottom w:w="15" w:type="dxa"/>
                    <w:right w:w="75" w:type="dxa"/>
                  </w:tcMar>
                </w:tcPr>
                <w:p w14:paraId="4E728385" w14:textId="6CB4E47B" w:rsidR="009277EE" w:rsidRPr="00E5571E" w:rsidRDefault="009277EE" w:rsidP="009277EE">
                  <w:r w:rsidRPr="00E5571E">
                    <w:rPr>
                      <w:color w:val="2B579A"/>
                      <w:shd w:val="clear" w:color="auto" w:fill="E6E6E6"/>
                    </w:rPr>
                    <w:object w:dxaOrig="1440" w:dyaOrig="1440" w14:anchorId="738B99F8">
                      <v:shape id="_x0000_i1078" type="#_x0000_t75" style="width:136.5pt;height:29.25pt" o:ole="">
                        <v:imagedata r:id="rId32" o:title=""/>
                      </v:shape>
                      <w:control r:id="rId33" w:name="DefaultOcxName33" w:shapeid="_x0000_i1078"/>
                    </w:object>
                  </w:r>
                </w:p>
              </w:tc>
              <w:tc>
                <w:tcPr>
                  <w:tcW w:w="0" w:type="auto"/>
                  <w:tcBorders>
                    <w:top w:val="single" w:sz="8" w:space="0" w:color="auto"/>
                    <w:left w:val="nil"/>
                    <w:bottom w:val="single" w:sz="8" w:space="0" w:color="auto"/>
                    <w:right w:val="nil"/>
                  </w:tcBorders>
                  <w:tcMar>
                    <w:top w:w="15" w:type="dxa"/>
                    <w:left w:w="75" w:type="dxa"/>
                    <w:bottom w:w="15" w:type="dxa"/>
                    <w:right w:w="75" w:type="dxa"/>
                  </w:tcMar>
                </w:tcPr>
                <w:p w14:paraId="1A2C5A36" w14:textId="3C0DB06B" w:rsidR="009277EE" w:rsidRPr="00E5571E" w:rsidRDefault="009277EE" w:rsidP="009277EE">
                  <w:r>
                    <w:t xml:space="preserve">L’Union des Chambres de Commerce, d’Industrie et d’Agriculture (UCCIA) a développé une interface afin de faciliter l’import-export au sein des Comores, CAPEX, et un centre de formation ICF qui oriente les entrepreneurs. L’UCCIA est une porte d’entrée importante sur le secteur privé </w:t>
                  </w:r>
                  <w:r w:rsidR="00A87C41">
                    <w:t>.D</w:t>
                  </w:r>
                  <w:r>
                    <w:t>ans le cadre de ce projet, l’UCCIA va servir de facilitateur et d’interface d’intégration pour les femmes et jeunes entrepreneurs.</w:t>
                  </w:r>
                </w:p>
              </w:tc>
            </w:tr>
            <w:tr w:rsidR="009277EE" w:rsidRPr="00E5571E" w14:paraId="4A38E91A" w14:textId="77777777" w:rsidTr="6BD10D1A">
              <w:tc>
                <w:tcPr>
                  <w:tcW w:w="1219" w:type="dxa"/>
                </w:tcPr>
                <w:p w14:paraId="68A1F4E0" w14:textId="77777777" w:rsidR="009277EE" w:rsidRPr="00E5571E" w:rsidRDefault="009277EE" w:rsidP="009277EE">
                  <w:pPr>
                    <w:rPr>
                      <w:b/>
                      <w:bCs/>
                      <w:i/>
                      <w:iCs/>
                    </w:rPr>
                  </w:pPr>
                </w:p>
              </w:tc>
              <w:tc>
                <w:tcPr>
                  <w:tcW w:w="2970" w:type="dxa"/>
                  <w:gridSpan w:val="2"/>
                  <w:tcBorders>
                    <w:top w:val="single" w:sz="8" w:space="0" w:color="auto"/>
                    <w:left w:val="nil"/>
                    <w:bottom w:val="single" w:sz="8" w:space="0" w:color="auto"/>
                    <w:right w:val="nil"/>
                  </w:tcBorders>
                  <w:tcMar>
                    <w:top w:w="15" w:type="dxa"/>
                    <w:left w:w="75" w:type="dxa"/>
                    <w:bottom w:w="15" w:type="dxa"/>
                    <w:right w:w="75" w:type="dxa"/>
                  </w:tcMar>
                </w:tcPr>
                <w:p w14:paraId="283C288B" w14:textId="1E4CD981" w:rsidR="009277EE" w:rsidRPr="00E5571E" w:rsidRDefault="009277EE" w:rsidP="009277EE">
                  <w:r w:rsidRPr="00E5571E">
                    <w:rPr>
                      <w:color w:val="2B579A"/>
                      <w:shd w:val="clear" w:color="auto" w:fill="E6E6E6"/>
                    </w:rPr>
                    <w:object w:dxaOrig="1440" w:dyaOrig="1440" w14:anchorId="49A314CD">
                      <v:shape id="_x0000_i1081" type="#_x0000_t75" style="width:136.5pt;height:29.25pt" o:ole="">
                        <v:imagedata r:id="rId34" o:title=""/>
                      </v:shape>
                      <w:control r:id="rId35" w:name="DefaultOcxName332" w:shapeid="_x0000_i1081"/>
                    </w:object>
                  </w:r>
                  <w:r w:rsidR="03836AB5">
                    <w:t xml:space="preserve"> </w:t>
                  </w:r>
                </w:p>
              </w:tc>
              <w:tc>
                <w:tcPr>
                  <w:tcW w:w="0" w:type="auto"/>
                  <w:tcBorders>
                    <w:top w:val="single" w:sz="8" w:space="0" w:color="auto"/>
                    <w:left w:val="nil"/>
                    <w:bottom w:val="single" w:sz="8" w:space="0" w:color="auto"/>
                    <w:right w:val="nil"/>
                  </w:tcBorders>
                  <w:tcMar>
                    <w:top w:w="15" w:type="dxa"/>
                    <w:left w:w="75" w:type="dxa"/>
                    <w:bottom w:w="15" w:type="dxa"/>
                    <w:right w:w="75" w:type="dxa"/>
                  </w:tcMar>
                </w:tcPr>
                <w:p w14:paraId="26EC16F1" w14:textId="3A15564A" w:rsidR="009277EE" w:rsidRDefault="03836AB5" w:rsidP="009277EE">
                  <w:r>
                    <w:t>Partenaires pour la mise en place de la ZLECAf en Afrique et en Union des Comores. Organisent/contribuent à l’atelier national du mois de février 2022 pour définir la feuille de route du pays, sa stratégie d’intégration et son plan d’action.</w:t>
                  </w:r>
                  <w:r w:rsidR="3A0E7272">
                    <w:t xml:space="preserve"> Dans le cas de la CNUCED et de la CCI, l’intégration régionale est un point d’entrée stratégique pour des actions d’accompagnement du gouvernement</w:t>
                  </w:r>
                  <w:r w:rsidR="7AF77851">
                    <w:t>.</w:t>
                  </w:r>
                </w:p>
              </w:tc>
            </w:tr>
            <w:tr w:rsidR="009277EE" w:rsidRPr="00E5571E" w14:paraId="09BF1CDE" w14:textId="77777777" w:rsidTr="6BD10D1A">
              <w:tc>
                <w:tcPr>
                  <w:tcW w:w="1219" w:type="dxa"/>
                </w:tcPr>
                <w:p w14:paraId="5929ED07" w14:textId="77777777" w:rsidR="009277EE" w:rsidRPr="00E5571E" w:rsidRDefault="009277EE" w:rsidP="009277EE">
                  <w:pPr>
                    <w:rPr>
                      <w:b/>
                      <w:bCs/>
                      <w:i/>
                      <w:iCs/>
                    </w:rPr>
                  </w:pPr>
                </w:p>
              </w:tc>
              <w:tc>
                <w:tcPr>
                  <w:tcW w:w="2970" w:type="dxa"/>
                  <w:gridSpan w:val="2"/>
                  <w:tcBorders>
                    <w:top w:val="single" w:sz="8" w:space="0" w:color="auto"/>
                    <w:left w:val="nil"/>
                    <w:bottom w:val="single" w:sz="8" w:space="0" w:color="auto"/>
                    <w:right w:val="nil"/>
                  </w:tcBorders>
                  <w:tcMar>
                    <w:top w:w="15" w:type="dxa"/>
                    <w:left w:w="75" w:type="dxa"/>
                    <w:bottom w:w="15" w:type="dxa"/>
                    <w:right w:w="75" w:type="dxa"/>
                  </w:tcMar>
                </w:tcPr>
                <w:p w14:paraId="3876FC9C" w14:textId="7DBB609C" w:rsidR="009277EE" w:rsidRPr="00E5571E" w:rsidRDefault="009277EE" w:rsidP="00682B69">
                  <w:pPr>
                    <w:spacing w:after="0"/>
                  </w:pPr>
                  <w:r w:rsidRPr="00E5571E">
                    <w:rPr>
                      <w:color w:val="2B579A"/>
                      <w:shd w:val="clear" w:color="auto" w:fill="E6E6E6"/>
                    </w:rPr>
                    <w:object w:dxaOrig="1440" w:dyaOrig="1440" w14:anchorId="41855CD0">
                      <v:shape id="_x0000_i1084" type="#_x0000_t75" style="width:136.5pt;height:29.25pt" o:ole="">
                        <v:imagedata r:id="rId36" o:title=""/>
                      </v:shape>
                      <w:control r:id="rId37" w:name="DefaultOcxName34" w:shapeid="_x0000_i1084"/>
                    </w:object>
                  </w:r>
                </w:p>
              </w:tc>
              <w:tc>
                <w:tcPr>
                  <w:tcW w:w="0" w:type="auto"/>
                  <w:tcBorders>
                    <w:top w:val="single" w:sz="8" w:space="0" w:color="auto"/>
                    <w:left w:val="nil"/>
                    <w:bottom w:val="single" w:sz="8" w:space="0" w:color="auto"/>
                    <w:right w:val="nil"/>
                  </w:tcBorders>
                  <w:tcMar>
                    <w:top w:w="15" w:type="dxa"/>
                    <w:left w:w="75" w:type="dxa"/>
                    <w:bottom w:w="15" w:type="dxa"/>
                    <w:right w:w="75" w:type="dxa"/>
                  </w:tcMar>
                </w:tcPr>
                <w:p w14:paraId="47C5C90F" w14:textId="368C4A3C" w:rsidR="009277EE" w:rsidRPr="00E5571E" w:rsidRDefault="009277EE" w:rsidP="009277EE">
                  <w:r>
                    <w:t xml:space="preserve">Les CRDE sont en charge de la </w:t>
                  </w:r>
                  <w:proofErr w:type="spellStart"/>
                  <w:r>
                    <w:t>MarketPlace</w:t>
                  </w:r>
                  <w:proofErr w:type="spellEnd"/>
                  <w:r>
                    <w:t xml:space="preserve"> développée en 2021 avec l’appui technique et financier du PNUD. Les CRDE seront le centre névralgique de l’intégration d’outils numériques dans les activités des petits exploitants agricoles</w:t>
                  </w:r>
                  <w:r w:rsidR="008418EC">
                    <w:t xml:space="preserve"> et pourront, à leur niveau, promouvoir l’utilisation de cette plateforme pour favoriser la vente en ligne des produits. </w:t>
                  </w:r>
                </w:p>
              </w:tc>
            </w:tr>
            <w:tr w:rsidR="009277EE" w:rsidRPr="00E5571E" w14:paraId="1118FA25" w14:textId="77777777" w:rsidTr="6BD10D1A">
              <w:tc>
                <w:tcPr>
                  <w:tcW w:w="1219" w:type="dxa"/>
                </w:tcPr>
                <w:p w14:paraId="5ADBD32D" w14:textId="40F8C1A2" w:rsidR="009277EE" w:rsidRPr="00E5571E" w:rsidRDefault="009277EE" w:rsidP="009277EE">
                  <w:pPr>
                    <w:rPr>
                      <w:b/>
                      <w:bCs/>
                      <w:i/>
                      <w:iCs/>
                    </w:rPr>
                  </w:pPr>
                </w:p>
              </w:tc>
              <w:tc>
                <w:tcPr>
                  <w:tcW w:w="2970" w:type="dxa"/>
                  <w:gridSpan w:val="2"/>
                  <w:tcBorders>
                    <w:top w:val="single" w:sz="8" w:space="0" w:color="auto"/>
                    <w:left w:val="nil"/>
                    <w:bottom w:val="single" w:sz="8" w:space="0" w:color="auto"/>
                    <w:right w:val="nil"/>
                  </w:tcBorders>
                  <w:tcMar>
                    <w:top w:w="15" w:type="dxa"/>
                    <w:left w:w="75" w:type="dxa"/>
                    <w:bottom w:w="15" w:type="dxa"/>
                    <w:right w:w="75" w:type="dxa"/>
                  </w:tcMar>
                </w:tcPr>
                <w:p w14:paraId="3E414029" w14:textId="3A12F50C" w:rsidR="009277EE" w:rsidRPr="00E5571E" w:rsidRDefault="009277EE" w:rsidP="009277EE">
                  <w:r w:rsidRPr="00E5571E">
                    <w:rPr>
                      <w:color w:val="2B579A"/>
                      <w:shd w:val="clear" w:color="auto" w:fill="E6E6E6"/>
                    </w:rPr>
                    <w:object w:dxaOrig="1440" w:dyaOrig="1440" w14:anchorId="645463EB">
                      <v:shape id="_x0000_i1087" type="#_x0000_t75" style="width:136.5pt;height:29.25pt" o:ole="">
                        <v:imagedata r:id="rId38" o:title=""/>
                      </v:shape>
                      <w:control r:id="rId39" w:name="DefaultOcxName331" w:shapeid="_x0000_i1087"/>
                    </w:object>
                  </w:r>
                </w:p>
              </w:tc>
              <w:tc>
                <w:tcPr>
                  <w:tcW w:w="0" w:type="auto"/>
                  <w:tcBorders>
                    <w:top w:val="single" w:sz="8" w:space="0" w:color="auto"/>
                    <w:left w:val="nil"/>
                    <w:bottom w:val="single" w:sz="8" w:space="0" w:color="auto"/>
                    <w:right w:val="nil"/>
                  </w:tcBorders>
                  <w:tcMar>
                    <w:top w:w="15" w:type="dxa"/>
                    <w:left w:w="75" w:type="dxa"/>
                    <w:bottom w:w="15" w:type="dxa"/>
                    <w:right w:w="75" w:type="dxa"/>
                  </w:tcMar>
                </w:tcPr>
                <w:p w14:paraId="6847446D" w14:textId="278F4F91" w:rsidR="009277EE" w:rsidRPr="00E5571E" w:rsidRDefault="009277EE" w:rsidP="009277EE">
                  <w:r>
                    <w:t>La Direction de l’Entreprenariat féminin, logé au sein du Ministère de la Jeunesse et de l’emploi joue un rôle prépondérant dans l’accompagnement des femmes vers leur autonomisation. Dans le cadre de ce projet, cette Direction participera aux discussions</w:t>
                  </w:r>
                  <w:r w:rsidR="0024280E">
                    <w:t xml:space="preserve"> </w:t>
                  </w:r>
                  <w:r w:rsidR="00F21202">
                    <w:t xml:space="preserve">et activités </w:t>
                  </w:r>
                  <w:r>
                    <w:t xml:space="preserve"> devant faciliter l’entreprenariat des jeunes et des femmes notamment, et suivra les femmes </w:t>
                  </w:r>
                  <w:r w:rsidR="006E2151">
                    <w:t>entrepreneures dans le cadre du programme d’accompagnement</w:t>
                  </w:r>
                  <w:r w:rsidR="00F21202">
                    <w:t xml:space="preserve"> à la compétitivité des entreprises.</w:t>
                  </w:r>
                </w:p>
              </w:tc>
            </w:tr>
            <w:tr w:rsidR="009277EE" w:rsidRPr="00E5571E" w14:paraId="71CC23ED" w14:textId="77777777" w:rsidTr="6BD10D1A">
              <w:tc>
                <w:tcPr>
                  <w:tcW w:w="1219" w:type="dxa"/>
                </w:tcPr>
                <w:p w14:paraId="5FC5889A" w14:textId="77777777" w:rsidR="009277EE" w:rsidRPr="00E5571E" w:rsidRDefault="009277EE" w:rsidP="009277EE">
                  <w:pPr>
                    <w:rPr>
                      <w:b/>
                      <w:bCs/>
                      <w:i/>
                      <w:iCs/>
                    </w:rPr>
                  </w:pPr>
                </w:p>
              </w:tc>
              <w:tc>
                <w:tcPr>
                  <w:tcW w:w="2970" w:type="dxa"/>
                  <w:gridSpan w:val="2"/>
                  <w:tcBorders>
                    <w:top w:val="single" w:sz="8" w:space="0" w:color="auto"/>
                    <w:left w:val="nil"/>
                    <w:bottom w:val="single" w:sz="8" w:space="0" w:color="auto"/>
                    <w:right w:val="nil"/>
                  </w:tcBorders>
                  <w:tcMar>
                    <w:top w:w="15" w:type="dxa"/>
                    <w:left w:w="75" w:type="dxa"/>
                    <w:bottom w:w="15" w:type="dxa"/>
                    <w:right w:w="75" w:type="dxa"/>
                  </w:tcMar>
                </w:tcPr>
                <w:p w14:paraId="38165FE7" w14:textId="6535613F" w:rsidR="009277EE" w:rsidRPr="00E5571E" w:rsidRDefault="009277EE" w:rsidP="009277EE">
                  <w:r w:rsidRPr="00E5571E">
                    <w:rPr>
                      <w:color w:val="2B579A"/>
                      <w:shd w:val="clear" w:color="auto" w:fill="E6E6E6"/>
                    </w:rPr>
                    <w:object w:dxaOrig="1440" w:dyaOrig="1440" w14:anchorId="53B9212C">
                      <v:shape id="_x0000_i1090" type="#_x0000_t75" style="width:136.5pt;height:29.25pt" o:ole="">
                        <v:imagedata r:id="rId40" o:title=""/>
                      </v:shape>
                      <w:control r:id="rId41" w:name="DefaultOcxName3321" w:shapeid="_x0000_i1090"/>
                    </w:object>
                  </w:r>
                  <w:r w:rsidR="3A05F620">
                    <w:t xml:space="preserve"> </w:t>
                  </w:r>
                </w:p>
              </w:tc>
              <w:tc>
                <w:tcPr>
                  <w:tcW w:w="0" w:type="auto"/>
                  <w:tcBorders>
                    <w:top w:val="single" w:sz="8" w:space="0" w:color="auto"/>
                    <w:left w:val="nil"/>
                    <w:bottom w:val="single" w:sz="8" w:space="0" w:color="auto"/>
                    <w:right w:val="nil"/>
                  </w:tcBorders>
                  <w:tcMar>
                    <w:top w:w="15" w:type="dxa"/>
                    <w:left w:w="75" w:type="dxa"/>
                    <w:bottom w:w="15" w:type="dxa"/>
                    <w:right w:w="75" w:type="dxa"/>
                  </w:tcMar>
                </w:tcPr>
                <w:p w14:paraId="73882EEF" w14:textId="77777777" w:rsidR="009277EE" w:rsidRDefault="03836AB5" w:rsidP="009277EE">
                  <w:r>
                    <w:t xml:space="preserve">Afin d’accompagner les mesures pour développer l’e-commerce et le paiement </w:t>
                  </w:r>
                  <w:r w:rsidR="05BE2DCD">
                    <w:t>par téléphone</w:t>
                  </w:r>
                  <w:r w:rsidR="00A87C41">
                    <w:t xml:space="preserve"> ainsi que la mise en place d’une stratégie d</w:t>
                  </w:r>
                  <w:r w:rsidR="004469AC">
                    <w:t>’alphabétisation numérique ciblée sur les jeunes et les femmes entrepreneures /travailleurs indépendants.</w:t>
                  </w:r>
                </w:p>
                <w:p w14:paraId="4449625D" w14:textId="2201D178" w:rsidR="006E2151" w:rsidRDefault="006E2151" w:rsidP="009277EE"/>
                <w:p w14:paraId="3ACDADAE" w14:textId="39C468AE" w:rsidR="00AC5682" w:rsidRDefault="00AC5682" w:rsidP="009277EE">
                  <w:r>
                    <w:t xml:space="preserve">SOCIETE CIVILE : les OSC/ONG de jeunes et de femmes </w:t>
                  </w:r>
                  <w:r w:rsidR="00E1619F">
                    <w:t xml:space="preserve">mentionnées dans le document (Synergie Jeune, EFOICOM, </w:t>
                  </w:r>
                  <w:proofErr w:type="spellStart"/>
                  <w:r w:rsidR="00E1619F">
                    <w:t>PlaMFE</w:t>
                  </w:r>
                  <w:proofErr w:type="spellEnd"/>
                  <w:r w:rsidR="00E1619F">
                    <w:t xml:space="preserve">, etc.) </w:t>
                  </w:r>
                  <w:r>
                    <w:t xml:space="preserve">seront impliquées dans les discussions </w:t>
                  </w:r>
                  <w:r w:rsidR="00E1619F">
                    <w:t xml:space="preserve">et le actions de communication </w:t>
                  </w:r>
                  <w:r>
                    <w:t>liées à l’intégration du pays dans la ZLECAf</w:t>
                  </w:r>
                  <w:r w:rsidR="00182CFD">
                    <w:t xml:space="preserve">, les aspects de promotion du e-commerce </w:t>
                  </w:r>
                  <w:r>
                    <w:t>et participeront aux activités d’encadrement des jeunes et des femmes entrepreneurs.</w:t>
                  </w:r>
                </w:p>
                <w:p w14:paraId="4D69E03B" w14:textId="06AA09DF" w:rsidR="006E2151" w:rsidRPr="00E5571E" w:rsidRDefault="006E2151" w:rsidP="009277EE"/>
              </w:tc>
            </w:tr>
          </w:tbl>
          <w:p w14:paraId="3287EBA9" w14:textId="77777777" w:rsidR="009277EE" w:rsidRPr="00E5571E" w:rsidRDefault="009277EE" w:rsidP="009277EE">
            <w:pPr>
              <w:rPr>
                <w:vanish/>
              </w:rPr>
            </w:pPr>
          </w:p>
          <w:tbl>
            <w:tblPr>
              <w:tblW w:w="13935" w:type="dxa"/>
              <w:tblCellSpacing w:w="0" w:type="dxa"/>
              <w:tblCellMar>
                <w:left w:w="0" w:type="dxa"/>
                <w:right w:w="0" w:type="dxa"/>
              </w:tblCellMar>
              <w:tblLook w:val="04A0" w:firstRow="1" w:lastRow="0" w:firstColumn="1" w:lastColumn="0" w:noHBand="0" w:noVBand="1"/>
            </w:tblPr>
            <w:tblGrid>
              <w:gridCol w:w="300"/>
              <w:gridCol w:w="13635"/>
            </w:tblGrid>
            <w:tr w:rsidR="009277EE" w:rsidRPr="00E5571E" w14:paraId="4E8FED03" w14:textId="77777777" w:rsidTr="00E5571E">
              <w:trPr>
                <w:tblCellSpacing w:w="0" w:type="dxa"/>
              </w:trPr>
              <w:tc>
                <w:tcPr>
                  <w:tcW w:w="300" w:type="dxa"/>
                  <w:vAlign w:val="center"/>
                  <w:hideMark/>
                </w:tcPr>
                <w:p w14:paraId="236888CA" w14:textId="1AE41C45" w:rsidR="009277EE" w:rsidRPr="00E5571E" w:rsidRDefault="009277EE" w:rsidP="009277EE"/>
              </w:tc>
              <w:tc>
                <w:tcPr>
                  <w:tcW w:w="0" w:type="auto"/>
                  <w:vAlign w:val="center"/>
                  <w:hideMark/>
                </w:tcPr>
                <w:p w14:paraId="45651AAA" w14:textId="77777777" w:rsidR="009277EE" w:rsidRDefault="009D1B09" w:rsidP="009277EE">
                  <w:pPr>
                    <w:rPr>
                      <w:rStyle w:val="Lienhypertexte"/>
                    </w:rPr>
                  </w:pPr>
                  <w:hyperlink r:id="rId42" w:history="1">
                    <w:proofErr w:type="spellStart"/>
                    <w:r w:rsidR="009277EE" w:rsidRPr="00E5571E">
                      <w:rPr>
                        <w:rStyle w:val="Lienhypertexte"/>
                      </w:rPr>
                      <w:t>Add</w:t>
                    </w:r>
                    <w:proofErr w:type="spellEnd"/>
                    <w:r w:rsidR="009277EE" w:rsidRPr="00E5571E">
                      <w:rPr>
                        <w:rStyle w:val="Lienhypertexte"/>
                      </w:rPr>
                      <w:t xml:space="preserve"> Partner</w:t>
                    </w:r>
                  </w:hyperlink>
                </w:p>
                <w:p w14:paraId="66742848" w14:textId="77777777" w:rsidR="00AC5682" w:rsidRDefault="00AC5682" w:rsidP="009277EE">
                  <w:pPr>
                    <w:rPr>
                      <w:rStyle w:val="Lienhypertexte"/>
                    </w:rPr>
                  </w:pPr>
                </w:p>
                <w:p w14:paraId="77F2B79D" w14:textId="77777777" w:rsidR="00AC5682" w:rsidRDefault="00AC5682" w:rsidP="009277EE">
                  <w:pPr>
                    <w:rPr>
                      <w:rStyle w:val="Lienhypertexte"/>
                    </w:rPr>
                  </w:pPr>
                </w:p>
                <w:p w14:paraId="643F49C7" w14:textId="77777777" w:rsidR="00AC5682" w:rsidRDefault="00AC5682" w:rsidP="009277EE">
                  <w:pPr>
                    <w:rPr>
                      <w:rStyle w:val="Lienhypertexte"/>
                    </w:rPr>
                  </w:pPr>
                </w:p>
                <w:p w14:paraId="6689FB34" w14:textId="77777777" w:rsidR="00AC5682" w:rsidRDefault="00AC5682" w:rsidP="009277EE">
                  <w:pPr>
                    <w:rPr>
                      <w:rStyle w:val="Lienhypertexte"/>
                    </w:rPr>
                  </w:pPr>
                </w:p>
                <w:p w14:paraId="7C54716A" w14:textId="042A519F" w:rsidR="00AC5682" w:rsidRPr="00E5571E" w:rsidRDefault="00AC5682" w:rsidP="009277EE"/>
              </w:tc>
            </w:tr>
          </w:tbl>
          <w:p w14:paraId="02846F86" w14:textId="77777777" w:rsidR="009277EE" w:rsidRPr="00E5571E" w:rsidRDefault="009277EE" w:rsidP="009277EE"/>
        </w:tc>
      </w:tr>
      <w:tr w:rsidR="009277EE" w:rsidRPr="00E5571E" w14:paraId="141F8ACD" w14:textId="77777777" w:rsidTr="69A8F6F5">
        <w:trPr>
          <w:trHeight w:val="675"/>
          <w:jc w:val="center"/>
        </w:trPr>
        <w:tc>
          <w:tcPr>
            <w:tcW w:w="0" w:type="auto"/>
            <w:tcBorders>
              <w:top w:val="single" w:sz="12" w:space="0" w:color="F2F2F2" w:themeColor="background1" w:themeShade="F2"/>
              <w:left w:val="single" w:sz="12" w:space="0" w:color="F2F2F2" w:themeColor="background1" w:themeShade="F2"/>
              <w:bottom w:val="single" w:sz="8" w:space="0" w:color="A6C2B2"/>
              <w:right w:val="single" w:sz="12" w:space="0" w:color="F2F2F2" w:themeColor="background1" w:themeShade="F2"/>
            </w:tcBorders>
            <w:tcMar>
              <w:top w:w="60" w:type="dxa"/>
              <w:left w:w="330" w:type="dxa"/>
              <w:bottom w:w="60" w:type="dxa"/>
              <w:right w:w="330" w:type="dxa"/>
            </w:tcMar>
            <w:vAlign w:val="center"/>
            <w:hideMark/>
          </w:tcPr>
          <w:p w14:paraId="64D03CBF" w14:textId="7E84CF9F" w:rsidR="009277EE" w:rsidRPr="0094688C" w:rsidRDefault="03836AB5" w:rsidP="009277EE">
            <w:pPr>
              <w:rPr>
                <w:b/>
                <w:bCs/>
              </w:rPr>
            </w:pPr>
            <w:r w:rsidRPr="5550D510">
              <w:rPr>
                <w:b/>
                <w:bCs/>
              </w:rPr>
              <w:lastRenderedPageBreak/>
              <w:t>Risks:</w:t>
            </w:r>
          </w:p>
          <w:p w14:paraId="481DFF3F" w14:textId="2DC6BE5F" w:rsidR="009277EE" w:rsidRPr="00B31C63" w:rsidRDefault="03836AB5" w:rsidP="009277EE">
            <w:pPr>
              <w:rPr>
                <w:b/>
                <w:bCs/>
              </w:rPr>
            </w:pPr>
            <w:r w:rsidRPr="5550D510">
              <w:rPr>
                <w:b/>
                <w:bCs/>
              </w:rPr>
              <w:t xml:space="preserve">RISQUE 1: </w:t>
            </w:r>
            <w:r w:rsidR="00C812C7" w:rsidRPr="00D90C96">
              <w:rPr>
                <w:rFonts w:ascii="Segoe UI" w:hAnsi="Segoe UI" w:cs="Segoe UI"/>
                <w:b/>
                <w:bCs/>
                <w:color w:val="252423"/>
                <w:sz w:val="21"/>
                <w:szCs w:val="21"/>
                <w:shd w:val="clear" w:color="auto" w:fill="FFFFFF"/>
              </w:rPr>
              <w:t>la pandémie a induit des besoins de financement additionnels importants qui ont accentué les craintes du gouvernement sur une diminution, du fait de l'adhésion à la ZLECAF, des recettes douanières qui constituent actuellement la principale source budgétaire du pays</w:t>
            </w:r>
            <w:r w:rsidR="275EAD3B" w:rsidRPr="00D90C96">
              <w:rPr>
                <w:b/>
                <w:bCs/>
              </w:rPr>
              <w:t>:</w:t>
            </w:r>
            <w:r w:rsidR="275EAD3B" w:rsidRPr="5550D510">
              <w:rPr>
                <w:b/>
                <w:bCs/>
              </w:rPr>
              <w:t xml:space="preserve"> </w:t>
            </w:r>
            <w:r w:rsidR="275EAD3B">
              <w:t xml:space="preserve">le PNUD a appuyé le gouvernement dans la mise en place d’une vaste étude visant à mesurer l’impact de la COVID-19 sur le développement du pays et les objectifs du Plan Comores Emergent à l’horizon 2030. Les recommandations issues de cette étude </w:t>
            </w:r>
            <w:r w:rsidR="00C812C7">
              <w:t xml:space="preserve">ainsi que les besoins financiers accrus </w:t>
            </w:r>
            <w:r w:rsidR="275EAD3B">
              <w:t xml:space="preserve">seront </w:t>
            </w:r>
            <w:r w:rsidR="00D90C96">
              <w:t>pris en compte</w:t>
            </w:r>
            <w:r w:rsidR="275EAD3B">
              <w:t xml:space="preserve"> dans la stratégie d’intégration du pays à la ZLECAf</w:t>
            </w:r>
            <w:r w:rsidR="00C812C7">
              <w:t xml:space="preserve"> </w:t>
            </w:r>
          </w:p>
          <w:p w14:paraId="6DB864F5" w14:textId="3F073586" w:rsidR="009277EE" w:rsidRDefault="03836AB5" w:rsidP="009277EE">
            <w:r w:rsidRPr="5550D510">
              <w:rPr>
                <w:b/>
                <w:bCs/>
              </w:rPr>
              <w:t xml:space="preserve">RISQUE 2: </w:t>
            </w:r>
            <w:r w:rsidR="275EAD3B" w:rsidRPr="5550D510">
              <w:rPr>
                <w:b/>
                <w:bCs/>
              </w:rPr>
              <w:t xml:space="preserve">La mobilisation des partenaires au développement et du secteur privé autour des opportunités liées à la ZLECAf </w:t>
            </w:r>
            <w:r w:rsidR="2A3A47BE" w:rsidRPr="5550D510">
              <w:rPr>
                <w:b/>
                <w:bCs/>
              </w:rPr>
              <w:t>est limitée</w:t>
            </w:r>
            <w:r w:rsidR="004469AC">
              <w:rPr>
                <w:b/>
                <w:bCs/>
              </w:rPr>
              <w:t xml:space="preserve"> du fait de la crainte de pertes de revenus liées à la mise en place d’une zone plus concurrentielle</w:t>
            </w:r>
            <w:r w:rsidR="2A3A47BE" w:rsidRPr="5550D510">
              <w:rPr>
                <w:b/>
                <w:bCs/>
              </w:rPr>
              <w:t> :</w:t>
            </w:r>
            <w:r w:rsidR="2A3A47BE">
              <w:t xml:space="preserve"> le PNUD a intégré dans sa stratégie une campagne de plaidoyer et de sensibilisation de l’ensemble des acteurs, publics et privés, afin que leurs contributions soient coordonnées. Le leadership du gouvernement est par ailleurs renforcé et appuyé par la </w:t>
            </w:r>
            <w:r w:rsidR="2A3A47BE">
              <w:lastRenderedPageBreak/>
              <w:t>CEA, la CNUCED et le PNUD</w:t>
            </w:r>
            <w:r w:rsidR="0056525F">
              <w:t xml:space="preserve"> pour développer une stratégie favorable au développement durable des Comores</w:t>
            </w:r>
            <w:r w:rsidR="2A3A47BE">
              <w:t>.</w:t>
            </w:r>
            <w:r w:rsidR="00F01963">
              <w:t xml:space="preserve"> De plus, une stratégie d’accompagnement des jeunes et des femmes entrepreneurs dans le cadre de projet doit leur permettre de se formaliser ou d’étendre leurs activités sans risquer de les rendre plus vulnérables du fait des contraintes liées à leur formalisation. </w:t>
            </w:r>
          </w:p>
          <w:p w14:paraId="129D36A4" w14:textId="198A14BD" w:rsidR="004B450D" w:rsidRDefault="004B450D" w:rsidP="009277EE">
            <w:r w:rsidRPr="00BC6167">
              <w:rPr>
                <w:b/>
                <w:bCs/>
              </w:rPr>
              <w:t xml:space="preserve">RISQUE 3 : </w:t>
            </w:r>
            <w:r w:rsidR="00DD4718">
              <w:rPr>
                <w:b/>
                <w:bCs/>
              </w:rPr>
              <w:t>L</w:t>
            </w:r>
            <w:r w:rsidR="00CC75E3" w:rsidRPr="00BC6167">
              <w:rPr>
                <w:b/>
                <w:bCs/>
              </w:rPr>
              <w:t>’intérêt de la</w:t>
            </w:r>
            <w:r w:rsidR="00C812C7" w:rsidRPr="00BC6167">
              <w:rPr>
                <w:b/>
                <w:bCs/>
              </w:rPr>
              <w:t xml:space="preserve"> diaspora à soutenir l’entreprenariat jeune et féminin est méconnu</w:t>
            </w:r>
            <w:r w:rsidR="00CC75E3">
              <w:t xml:space="preserve"> : dans le cadre de a mise en place du cadre national de financement intégré, une étude sur le rôle de la diaspora va nous permettre d’identifier les attentes de la diaspora et de développer des initiatives qui reçoivent leur intérêt. Par ailleurs, l’Accelerator Lab va travailler avec la Diaspora sur ces aspects afin qu’elle devienne partie prenante de l’essor de l’entreprenariat jeune et féminin voulu par ce projet. Enfin, la stratégie de communication </w:t>
            </w:r>
            <w:proofErr w:type="spellStart"/>
            <w:r w:rsidR="00CC75E3">
              <w:t>incluera</w:t>
            </w:r>
            <w:proofErr w:type="spellEnd"/>
            <w:r w:rsidR="00CC75E3">
              <w:t xml:space="preserve"> la diaspora afin de les sensibiliser aux avantages de l’adhésion à la ZLECAf. </w:t>
            </w:r>
          </w:p>
          <w:p w14:paraId="0C918269" w14:textId="17949726" w:rsidR="6B54FF2D" w:rsidRDefault="6B54FF2D" w:rsidP="5550D510">
            <w:r w:rsidRPr="0056525F">
              <w:rPr>
                <w:b/>
                <w:bCs/>
              </w:rPr>
              <w:t xml:space="preserve">RISQUE </w:t>
            </w:r>
            <w:r w:rsidR="004B450D">
              <w:rPr>
                <w:b/>
                <w:bCs/>
              </w:rPr>
              <w:t>4</w:t>
            </w:r>
            <w:r w:rsidRPr="0056525F">
              <w:rPr>
                <w:b/>
                <w:bCs/>
              </w:rPr>
              <w:t>:</w:t>
            </w:r>
            <w:r>
              <w:t xml:space="preserve"> 2022 marque </w:t>
            </w:r>
            <w:r w:rsidR="3BA1D018">
              <w:t xml:space="preserve">une année de transition vers de nouvelles élections présidentielles. </w:t>
            </w:r>
            <w:r w:rsidR="3BA1D018" w:rsidRPr="004469AC">
              <w:rPr>
                <w:b/>
                <w:bCs/>
                <w:color w:val="000000" w:themeColor="text1"/>
              </w:rPr>
              <w:t xml:space="preserve">Des tensions politiques pourraient </w:t>
            </w:r>
            <w:r w:rsidR="5332917E" w:rsidRPr="004469AC">
              <w:rPr>
                <w:b/>
                <w:bCs/>
                <w:color w:val="000000" w:themeColor="text1"/>
              </w:rPr>
              <w:t>retarder, voire entraver</w:t>
            </w:r>
            <w:r w:rsidR="3BA1D018" w:rsidRPr="004469AC">
              <w:rPr>
                <w:b/>
                <w:bCs/>
                <w:color w:val="000000" w:themeColor="text1"/>
              </w:rPr>
              <w:t xml:space="preserve"> la </w:t>
            </w:r>
            <w:r w:rsidR="2A94C7D6" w:rsidRPr="004469AC">
              <w:rPr>
                <w:b/>
                <w:bCs/>
                <w:color w:val="000000" w:themeColor="text1"/>
              </w:rPr>
              <w:t xml:space="preserve">ratification </w:t>
            </w:r>
            <w:r w:rsidR="5A12A548" w:rsidRPr="004469AC">
              <w:rPr>
                <w:b/>
                <w:bCs/>
                <w:color w:val="000000" w:themeColor="text1"/>
              </w:rPr>
              <w:t>de l’accord et cristalliser de nouvelles crispations</w:t>
            </w:r>
            <w:r w:rsidR="004469AC">
              <w:rPr>
                <w:b/>
                <w:bCs/>
                <w:color w:val="000000" w:themeColor="text1"/>
              </w:rPr>
              <w:t>, surtout si les enjeux sont mal compris.</w:t>
            </w:r>
            <w:r w:rsidR="5A12A548">
              <w:t xml:space="preserve"> </w:t>
            </w:r>
            <w:r w:rsidR="57A3F6EB">
              <w:t xml:space="preserve">Le PNUD accompagnera le gouvernement, le secteur privé et la société civile </w:t>
            </w:r>
            <w:r w:rsidR="3F47A3C5">
              <w:t xml:space="preserve">en apportant un appui technique, stratégique et financier </w:t>
            </w:r>
            <w:r w:rsidR="2E1D78C3">
              <w:t xml:space="preserve">afin que </w:t>
            </w:r>
            <w:r w:rsidR="39653F83">
              <w:t>l’ensemble des C</w:t>
            </w:r>
            <w:r w:rsidR="1F1E4880">
              <w:t>o</w:t>
            </w:r>
            <w:r w:rsidR="39653F83">
              <w:t xml:space="preserve">mores tirent </w:t>
            </w:r>
            <w:r w:rsidR="004469AC">
              <w:t>parti</w:t>
            </w:r>
            <w:r w:rsidR="39653F83">
              <w:t xml:space="preserve"> de cette adhésion. L’Unité de communication </w:t>
            </w:r>
            <w:r w:rsidR="1063E79E">
              <w:t xml:space="preserve">du PNUD </w:t>
            </w:r>
            <w:r w:rsidR="39653F83">
              <w:t xml:space="preserve">s’attèlera à développer une stratégie de communication efficace, </w:t>
            </w:r>
            <w:r w:rsidR="6FEE8C99">
              <w:t xml:space="preserve">non partisane, </w:t>
            </w:r>
            <w:r w:rsidR="39653F83">
              <w:t xml:space="preserve">adaptée à chaque public </w:t>
            </w:r>
            <w:r w:rsidR="3FCBD5E7">
              <w:t>et appuyée par des données fiables</w:t>
            </w:r>
            <w:r w:rsidR="66069793">
              <w:t>, transparentes</w:t>
            </w:r>
            <w:r w:rsidR="3FCBD5E7">
              <w:t xml:space="preserve"> et régulières. </w:t>
            </w:r>
          </w:p>
          <w:p w14:paraId="02970308" w14:textId="60A3BD3D" w:rsidR="0056525F" w:rsidRDefault="0056525F" w:rsidP="5550D510">
            <w:r w:rsidRPr="00BC6167">
              <w:rPr>
                <w:b/>
                <w:bCs/>
              </w:rPr>
              <w:t xml:space="preserve">RISQUE </w:t>
            </w:r>
            <w:r w:rsidR="004B450D">
              <w:rPr>
                <w:b/>
                <w:bCs/>
              </w:rPr>
              <w:t>5</w:t>
            </w:r>
            <w:r w:rsidRPr="00BC6167">
              <w:rPr>
                <w:b/>
                <w:bCs/>
              </w:rPr>
              <w:t> :</w:t>
            </w:r>
            <w:r>
              <w:t xml:space="preserve"> 2022 va marquer le </w:t>
            </w:r>
            <w:r w:rsidRPr="00BC6167">
              <w:rPr>
                <w:b/>
                <w:bCs/>
              </w:rPr>
              <w:t>départ de l’économiste national</w:t>
            </w:r>
            <w:r>
              <w:t xml:space="preserve"> à la retraite. </w:t>
            </w:r>
            <w:r w:rsidRPr="0056525F">
              <w:t xml:space="preserve">Son rôle dans l’appui au gouvernement a été </w:t>
            </w:r>
            <w:r w:rsidRPr="00BC6167">
              <w:t>essenti</w:t>
            </w:r>
            <w:r w:rsidR="00527737">
              <w:t>e</w:t>
            </w:r>
            <w:r w:rsidRPr="00BC6167">
              <w:t xml:space="preserve">l pour </w:t>
            </w:r>
            <w:r w:rsidR="004B450D" w:rsidRPr="004B450D">
              <w:t>préparer</w:t>
            </w:r>
            <w:r w:rsidRPr="00BC6167">
              <w:t xml:space="preserve"> le </w:t>
            </w:r>
            <w:r>
              <w:t>processus d’intégration à date. Le Bureau, conscient du rôle technique et stratégique du PNUD dans ce dossier</w:t>
            </w:r>
            <w:r w:rsidR="003D591A">
              <w:t>,</w:t>
            </w:r>
            <w:r w:rsidR="004B450D">
              <w:t xml:space="preserve"> mobilisera des ressources humaines internes pour continuer d’appuyer l’Etat dans ce processus qui </w:t>
            </w:r>
            <w:r w:rsidR="001C3F47">
              <w:t>est</w:t>
            </w:r>
            <w:r w:rsidR="004B450D">
              <w:t xml:space="preserve"> par ailleurs suivi </w:t>
            </w:r>
            <w:r w:rsidR="001D19E2">
              <w:t>et directement appuyé</w:t>
            </w:r>
            <w:r w:rsidR="004B450D">
              <w:t xml:space="preserve"> par le Management du </w:t>
            </w:r>
            <w:r w:rsidR="00D90C96">
              <w:t>CO</w:t>
            </w:r>
            <w:r w:rsidR="004B450D">
              <w:t>.</w:t>
            </w:r>
          </w:p>
          <w:p w14:paraId="604B026B" w14:textId="63016150" w:rsidR="004B450D" w:rsidRPr="0056525F" w:rsidRDefault="004B450D" w:rsidP="5550D510"/>
          <w:p w14:paraId="23B75A35" w14:textId="77777777" w:rsidR="009277EE" w:rsidRPr="00E5571E" w:rsidRDefault="009277EE" w:rsidP="009277EE">
            <w:pPr>
              <w:rPr>
                <w:lang w:val="en-US"/>
              </w:rPr>
            </w:pPr>
            <w:r w:rsidRPr="00BC6167">
              <w:rPr>
                <w:i/>
                <w:iCs/>
                <w:highlight w:val="yellow"/>
                <w:lang w:val="en-US"/>
              </w:rPr>
              <w:t>The submitting CO should identify the risks associated with the project. This could include the risks associated with key partners, factors that may contribute to achievement of results, availability of data, and any other relevant factors.</w:t>
            </w:r>
          </w:p>
          <w:p w14:paraId="4C0C6F88" w14:textId="77777777" w:rsidR="009277EE" w:rsidRPr="00E5571E" w:rsidRDefault="009277EE" w:rsidP="009277EE">
            <w:r w:rsidRPr="00E5571E">
              <w:t>​</w:t>
            </w:r>
          </w:p>
        </w:tc>
      </w:tr>
      <w:tr w:rsidR="009277EE" w:rsidRPr="00E5571E" w14:paraId="79F9B85D" w14:textId="77777777" w:rsidTr="69A8F6F5">
        <w:trPr>
          <w:trHeight w:val="405"/>
          <w:jc w:val="center"/>
        </w:trPr>
        <w:tc>
          <w:tcPr>
            <w:tcW w:w="0" w:type="auto"/>
            <w:tcBorders>
              <w:top w:val="nil"/>
              <w:left w:val="nil"/>
              <w:bottom w:val="nil"/>
              <w:right w:val="nil"/>
            </w:tcBorders>
            <w:shd w:val="clear" w:color="auto" w:fill="E1EAE5"/>
            <w:tcMar>
              <w:top w:w="30" w:type="dxa"/>
              <w:left w:w="330" w:type="dxa"/>
              <w:bottom w:w="30" w:type="dxa"/>
              <w:right w:w="330" w:type="dxa"/>
            </w:tcMar>
            <w:vAlign w:val="center"/>
            <w:hideMark/>
          </w:tcPr>
          <w:p w14:paraId="191C9E83" w14:textId="77777777" w:rsidR="009277EE" w:rsidRPr="00E5571E" w:rsidRDefault="009277EE" w:rsidP="009277EE">
            <w:pPr>
              <w:rPr>
                <w:b/>
                <w:bCs/>
              </w:rPr>
            </w:pPr>
            <w:r w:rsidRPr="00E5571E">
              <w:rPr>
                <w:b/>
                <w:bCs/>
              </w:rPr>
              <w:lastRenderedPageBreak/>
              <w:t>Contacts</w:t>
            </w:r>
          </w:p>
        </w:tc>
      </w:tr>
      <w:tr w:rsidR="009277EE" w:rsidRPr="00E5571E" w14:paraId="6BFA4168" w14:textId="77777777" w:rsidTr="69A8F6F5">
        <w:trPr>
          <w:trHeight w:val="1380"/>
          <w:jc w:val="center"/>
        </w:trPr>
        <w:tc>
          <w:tcPr>
            <w:tcW w:w="0" w:type="auto"/>
            <w:tcBorders>
              <w:top w:val="single" w:sz="8" w:space="0" w:color="A6C2B2"/>
              <w:left w:val="single" w:sz="12" w:space="0" w:color="F2F2F2" w:themeColor="background1" w:themeShade="F2"/>
              <w:bottom w:val="single" w:sz="12" w:space="0" w:color="F2F2F2" w:themeColor="background1" w:themeShade="F2"/>
              <w:right w:val="single" w:sz="12" w:space="0" w:color="F2F2F2" w:themeColor="background1" w:themeShade="F2"/>
            </w:tcBorders>
            <w:tcMar>
              <w:top w:w="60" w:type="dxa"/>
              <w:left w:w="330" w:type="dxa"/>
              <w:bottom w:w="60" w:type="dxa"/>
              <w:right w:w="330" w:type="dxa"/>
            </w:tcMar>
            <w:vAlign w:val="center"/>
            <w:hideMark/>
          </w:tcPr>
          <w:tbl>
            <w:tblPr>
              <w:tblW w:w="14220" w:type="dxa"/>
              <w:tblCellMar>
                <w:top w:w="15" w:type="dxa"/>
                <w:left w:w="15" w:type="dxa"/>
                <w:bottom w:w="15" w:type="dxa"/>
                <w:right w:w="15" w:type="dxa"/>
              </w:tblCellMar>
              <w:tblLook w:val="04A0" w:firstRow="1" w:lastRow="0" w:firstColumn="1" w:lastColumn="0" w:noHBand="0" w:noVBand="1"/>
            </w:tblPr>
            <w:tblGrid>
              <w:gridCol w:w="8326"/>
              <w:gridCol w:w="5894"/>
            </w:tblGrid>
            <w:tr w:rsidR="009277EE" w:rsidRPr="00E5571E" w14:paraId="5680A373" w14:textId="77777777">
              <w:tc>
                <w:tcPr>
                  <w:tcW w:w="0" w:type="auto"/>
                  <w:tcBorders>
                    <w:top w:val="nil"/>
                    <w:left w:val="nil"/>
                    <w:bottom w:val="nil"/>
                    <w:right w:val="nil"/>
                  </w:tcBorders>
                  <w:vAlign w:val="center"/>
                  <w:hideMark/>
                </w:tcPr>
                <w:p w14:paraId="7C22D180" w14:textId="77777777" w:rsidR="009277EE" w:rsidRPr="00E5571E" w:rsidRDefault="009277EE" w:rsidP="009277EE">
                  <w:r w:rsidRPr="00E5571E">
                    <w:rPr>
                      <w:b/>
                      <w:bCs/>
                    </w:rPr>
                    <w:t>CO Focal Points</w:t>
                  </w:r>
                </w:p>
              </w:tc>
              <w:tc>
                <w:tcPr>
                  <w:tcW w:w="0" w:type="auto"/>
                  <w:tcBorders>
                    <w:top w:val="nil"/>
                    <w:left w:val="nil"/>
                    <w:bottom w:val="nil"/>
                    <w:right w:val="nil"/>
                  </w:tcBorders>
                  <w:vAlign w:val="center"/>
                  <w:hideMark/>
                </w:tcPr>
                <w:p w14:paraId="5ECC164E" w14:textId="177E4100" w:rsidR="009277EE" w:rsidRPr="00E5571E" w:rsidRDefault="009277EE" w:rsidP="009277EE">
                  <w:r w:rsidRPr="00E5571E">
                    <w:rPr>
                      <w:b/>
                      <w:bCs/>
                      <w:color w:val="2B579A"/>
                      <w:shd w:val="clear" w:color="auto" w:fill="E6E6E6"/>
                    </w:rPr>
                    <w:object w:dxaOrig="1440" w:dyaOrig="1440" w14:anchorId="4C4AD0E0">
                      <v:shape id="_x0000_i1093" type="#_x0000_t75" style="width:49.5pt;height:18pt" o:ole="">
                        <v:imagedata r:id="rId43" o:title=""/>
                      </v:shape>
                      <w:control r:id="rId44" w:name="DefaultOcxName4" w:shapeid="_x0000_i1093"/>
                    </w:object>
                  </w:r>
                </w:p>
              </w:tc>
            </w:tr>
          </w:tbl>
          <w:p w14:paraId="200B48F2" w14:textId="77777777" w:rsidR="009277EE" w:rsidRPr="00E5571E" w:rsidRDefault="009277EE" w:rsidP="009277EE"/>
        </w:tc>
      </w:tr>
      <w:tr w:rsidR="009277EE" w:rsidRPr="00E5571E" w14:paraId="29E9FCBC" w14:textId="77777777" w:rsidTr="69A8F6F5">
        <w:trPr>
          <w:trHeight w:val="675"/>
          <w:jc w:val="center"/>
        </w:trPr>
        <w:tc>
          <w:tcPr>
            <w:tcW w:w="0" w:type="auto"/>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tcMar>
              <w:top w:w="60" w:type="dxa"/>
              <w:left w:w="330" w:type="dxa"/>
              <w:bottom w:w="60" w:type="dxa"/>
              <w:right w:w="330" w:type="dxa"/>
            </w:tcMar>
            <w:vAlign w:val="center"/>
            <w:hideMark/>
          </w:tcPr>
          <w:p w14:paraId="7AAC1648" w14:textId="77777777" w:rsidR="009277EE" w:rsidRPr="00E5571E" w:rsidRDefault="009277EE" w:rsidP="009277EE">
            <w:r w:rsidRPr="00E5571E">
              <w:rPr>
                <w:b/>
                <w:bCs/>
              </w:rPr>
              <w:lastRenderedPageBreak/>
              <w:t xml:space="preserve">Document </w:t>
            </w:r>
            <w:proofErr w:type="spellStart"/>
            <w:r w:rsidRPr="00E5571E">
              <w:rPr>
                <w:b/>
                <w:bCs/>
              </w:rPr>
              <w:t>submission</w:t>
            </w:r>
            <w:proofErr w:type="spellEnd"/>
            <w:r w:rsidRPr="00E5571E">
              <w:rPr>
                <w:b/>
                <w:bCs/>
              </w:rPr>
              <w:t xml:space="preserve"> </w:t>
            </w:r>
            <w:proofErr w:type="spellStart"/>
            <w:r w:rsidRPr="00E5571E">
              <w:rPr>
                <w:b/>
                <w:bCs/>
              </w:rPr>
              <w:t>status</w:t>
            </w:r>
            <w:proofErr w:type="spellEnd"/>
          </w:p>
          <w:p w14:paraId="36DFD0C0" w14:textId="006ACB52" w:rsidR="009277EE" w:rsidRPr="00E5571E" w:rsidRDefault="009277EE" w:rsidP="009277EE">
            <w:r w:rsidRPr="00E5571E">
              <w:rPr>
                <w:color w:val="2B579A"/>
                <w:shd w:val="clear" w:color="auto" w:fill="E6E6E6"/>
              </w:rPr>
              <w:object w:dxaOrig="1440" w:dyaOrig="1440" w14:anchorId="6D3C1211">
                <v:shape id="_x0000_i1096" type="#_x0000_t75" style="width:20.25pt;height:18pt" o:ole="">
                  <v:imagedata r:id="rId45" o:title=""/>
                </v:shape>
                <w:control r:id="rId46" w:name="DefaultOcxName5" w:shapeid="_x0000_i1096"/>
              </w:object>
            </w:r>
            <w:r w:rsidRPr="00E5571E">
              <w:t> Draft</w:t>
            </w:r>
          </w:p>
          <w:p w14:paraId="435834AF" w14:textId="7D561F5B" w:rsidR="009277EE" w:rsidRPr="00E5571E" w:rsidRDefault="009277EE" w:rsidP="009277EE">
            <w:r w:rsidRPr="00E5571E">
              <w:rPr>
                <w:color w:val="2B579A"/>
                <w:shd w:val="clear" w:color="auto" w:fill="E6E6E6"/>
              </w:rPr>
              <w:object w:dxaOrig="1440" w:dyaOrig="1440" w14:anchorId="348DF735">
                <v:shape id="_x0000_i1099" type="#_x0000_t75" style="width:20.25pt;height:18pt" o:ole="">
                  <v:imagedata r:id="rId47" o:title=""/>
                </v:shape>
                <w:control r:id="rId48" w:name="DefaultOcxName6" w:shapeid="_x0000_i1099"/>
              </w:object>
            </w:r>
            <w:r w:rsidRPr="00E5571E">
              <w:t xml:space="preserve"> Document </w:t>
            </w:r>
            <w:proofErr w:type="spellStart"/>
            <w:r w:rsidRPr="00E5571E">
              <w:t>is</w:t>
            </w:r>
            <w:proofErr w:type="spellEnd"/>
            <w:r w:rsidRPr="00E5571E">
              <w:t xml:space="preserve"> final</w:t>
            </w:r>
          </w:p>
        </w:tc>
      </w:tr>
      <w:tr w:rsidR="009277EE" w:rsidRPr="00E5571E" w14:paraId="39CE6F57" w14:textId="77777777" w:rsidTr="69A8F6F5">
        <w:trPr>
          <w:trHeight w:val="675"/>
          <w:jc w:val="center"/>
        </w:trPr>
        <w:tc>
          <w:tcPr>
            <w:tcW w:w="0" w:type="auto"/>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tcMar>
              <w:top w:w="60" w:type="dxa"/>
              <w:left w:w="330" w:type="dxa"/>
              <w:bottom w:w="60" w:type="dxa"/>
              <w:right w:w="330" w:type="dxa"/>
            </w:tcMar>
            <w:vAlign w:val="center"/>
            <w:hideMark/>
          </w:tcPr>
          <w:p w14:paraId="10918600" w14:textId="77777777" w:rsidR="009277EE" w:rsidRPr="00E5571E" w:rsidRDefault="009277EE" w:rsidP="009277EE">
            <w:r w:rsidRPr="00E5571E">
              <w:t> </w:t>
            </w:r>
          </w:p>
        </w:tc>
      </w:tr>
    </w:tbl>
    <w:p w14:paraId="5843B96A" w14:textId="0B8395D5" w:rsidR="00F902C2" w:rsidRDefault="00E5571E" w:rsidP="00E03828">
      <w:r w:rsidRPr="00E5571E">
        <w:t> </w:t>
      </w:r>
    </w:p>
    <w:sectPr w:rsidR="00F902C2" w:rsidSect="00E5571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116DE"/>
    <w:multiLevelType w:val="hybridMultilevel"/>
    <w:tmpl w:val="F41201A2"/>
    <w:lvl w:ilvl="0" w:tplc="F5A44448">
      <w:start w:val="1"/>
      <w:numFmt w:val="bullet"/>
      <w:lvlText w:val="-"/>
      <w:lvlJc w:val="left"/>
      <w:pPr>
        <w:ind w:left="720" w:hanging="360"/>
      </w:pPr>
      <w:rPr>
        <w:rFonts w:ascii="Calibri" w:hAnsi="Calibri" w:hint="default"/>
      </w:rPr>
    </w:lvl>
    <w:lvl w:ilvl="1" w:tplc="D6C6E440">
      <w:start w:val="1"/>
      <w:numFmt w:val="bullet"/>
      <w:lvlText w:val="o"/>
      <w:lvlJc w:val="left"/>
      <w:pPr>
        <w:ind w:left="1440" w:hanging="360"/>
      </w:pPr>
      <w:rPr>
        <w:rFonts w:ascii="Courier New" w:hAnsi="Courier New" w:hint="default"/>
      </w:rPr>
    </w:lvl>
    <w:lvl w:ilvl="2" w:tplc="1E761A36">
      <w:start w:val="1"/>
      <w:numFmt w:val="bullet"/>
      <w:lvlText w:val=""/>
      <w:lvlJc w:val="left"/>
      <w:pPr>
        <w:ind w:left="2160" w:hanging="360"/>
      </w:pPr>
      <w:rPr>
        <w:rFonts w:ascii="Wingdings" w:hAnsi="Wingdings" w:hint="default"/>
      </w:rPr>
    </w:lvl>
    <w:lvl w:ilvl="3" w:tplc="D23E37FE">
      <w:start w:val="1"/>
      <w:numFmt w:val="bullet"/>
      <w:lvlText w:val=""/>
      <w:lvlJc w:val="left"/>
      <w:pPr>
        <w:ind w:left="2880" w:hanging="360"/>
      </w:pPr>
      <w:rPr>
        <w:rFonts w:ascii="Symbol" w:hAnsi="Symbol" w:hint="default"/>
      </w:rPr>
    </w:lvl>
    <w:lvl w:ilvl="4" w:tplc="63562E4C">
      <w:start w:val="1"/>
      <w:numFmt w:val="bullet"/>
      <w:lvlText w:val="o"/>
      <w:lvlJc w:val="left"/>
      <w:pPr>
        <w:ind w:left="3600" w:hanging="360"/>
      </w:pPr>
      <w:rPr>
        <w:rFonts w:ascii="Courier New" w:hAnsi="Courier New" w:hint="default"/>
      </w:rPr>
    </w:lvl>
    <w:lvl w:ilvl="5" w:tplc="6F5800D0">
      <w:start w:val="1"/>
      <w:numFmt w:val="bullet"/>
      <w:lvlText w:val=""/>
      <w:lvlJc w:val="left"/>
      <w:pPr>
        <w:ind w:left="4320" w:hanging="360"/>
      </w:pPr>
      <w:rPr>
        <w:rFonts w:ascii="Wingdings" w:hAnsi="Wingdings" w:hint="default"/>
      </w:rPr>
    </w:lvl>
    <w:lvl w:ilvl="6" w:tplc="8D4E7138">
      <w:start w:val="1"/>
      <w:numFmt w:val="bullet"/>
      <w:lvlText w:val=""/>
      <w:lvlJc w:val="left"/>
      <w:pPr>
        <w:ind w:left="5040" w:hanging="360"/>
      </w:pPr>
      <w:rPr>
        <w:rFonts w:ascii="Symbol" w:hAnsi="Symbol" w:hint="default"/>
      </w:rPr>
    </w:lvl>
    <w:lvl w:ilvl="7" w:tplc="06706B2C">
      <w:start w:val="1"/>
      <w:numFmt w:val="bullet"/>
      <w:lvlText w:val="o"/>
      <w:lvlJc w:val="left"/>
      <w:pPr>
        <w:ind w:left="5760" w:hanging="360"/>
      </w:pPr>
      <w:rPr>
        <w:rFonts w:ascii="Courier New" w:hAnsi="Courier New" w:hint="default"/>
      </w:rPr>
    </w:lvl>
    <w:lvl w:ilvl="8" w:tplc="D02CD13A">
      <w:start w:val="1"/>
      <w:numFmt w:val="bullet"/>
      <w:lvlText w:val=""/>
      <w:lvlJc w:val="left"/>
      <w:pPr>
        <w:ind w:left="6480" w:hanging="360"/>
      </w:pPr>
      <w:rPr>
        <w:rFonts w:ascii="Wingdings" w:hAnsi="Wingdings" w:hint="default"/>
      </w:rPr>
    </w:lvl>
  </w:abstractNum>
  <w:abstractNum w:abstractNumId="1" w15:restartNumberingAfterBreak="0">
    <w:nsid w:val="14355777"/>
    <w:multiLevelType w:val="hybridMultilevel"/>
    <w:tmpl w:val="8E5851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5E660C"/>
    <w:multiLevelType w:val="hybridMultilevel"/>
    <w:tmpl w:val="5E8A5ECE"/>
    <w:lvl w:ilvl="0" w:tplc="9C306BD2">
      <w:start w:val="1"/>
      <w:numFmt w:val="bullet"/>
      <w:lvlText w:val="-"/>
      <w:lvlJc w:val="left"/>
      <w:pPr>
        <w:ind w:left="720" w:hanging="360"/>
      </w:pPr>
      <w:rPr>
        <w:rFonts w:ascii="Calibri" w:hAnsi="Calibri" w:hint="default"/>
      </w:rPr>
    </w:lvl>
    <w:lvl w:ilvl="1" w:tplc="E876886A">
      <w:start w:val="1"/>
      <w:numFmt w:val="bullet"/>
      <w:lvlText w:val="o"/>
      <w:lvlJc w:val="left"/>
      <w:pPr>
        <w:ind w:left="1440" w:hanging="360"/>
      </w:pPr>
      <w:rPr>
        <w:rFonts w:ascii="Courier New" w:hAnsi="Courier New" w:hint="default"/>
      </w:rPr>
    </w:lvl>
    <w:lvl w:ilvl="2" w:tplc="D72AEA4E">
      <w:start w:val="1"/>
      <w:numFmt w:val="bullet"/>
      <w:lvlText w:val=""/>
      <w:lvlJc w:val="left"/>
      <w:pPr>
        <w:ind w:left="2160" w:hanging="360"/>
      </w:pPr>
      <w:rPr>
        <w:rFonts w:ascii="Wingdings" w:hAnsi="Wingdings" w:hint="default"/>
      </w:rPr>
    </w:lvl>
    <w:lvl w:ilvl="3" w:tplc="5FE69410">
      <w:start w:val="1"/>
      <w:numFmt w:val="bullet"/>
      <w:lvlText w:val=""/>
      <w:lvlJc w:val="left"/>
      <w:pPr>
        <w:ind w:left="2880" w:hanging="360"/>
      </w:pPr>
      <w:rPr>
        <w:rFonts w:ascii="Symbol" w:hAnsi="Symbol" w:hint="default"/>
      </w:rPr>
    </w:lvl>
    <w:lvl w:ilvl="4" w:tplc="9446BA50">
      <w:start w:val="1"/>
      <w:numFmt w:val="bullet"/>
      <w:lvlText w:val="o"/>
      <w:lvlJc w:val="left"/>
      <w:pPr>
        <w:ind w:left="3600" w:hanging="360"/>
      </w:pPr>
      <w:rPr>
        <w:rFonts w:ascii="Courier New" w:hAnsi="Courier New" w:hint="default"/>
      </w:rPr>
    </w:lvl>
    <w:lvl w:ilvl="5" w:tplc="1AB28528">
      <w:start w:val="1"/>
      <w:numFmt w:val="bullet"/>
      <w:lvlText w:val=""/>
      <w:lvlJc w:val="left"/>
      <w:pPr>
        <w:ind w:left="4320" w:hanging="360"/>
      </w:pPr>
      <w:rPr>
        <w:rFonts w:ascii="Wingdings" w:hAnsi="Wingdings" w:hint="default"/>
      </w:rPr>
    </w:lvl>
    <w:lvl w:ilvl="6" w:tplc="BB868D0E">
      <w:start w:val="1"/>
      <w:numFmt w:val="bullet"/>
      <w:lvlText w:val=""/>
      <w:lvlJc w:val="left"/>
      <w:pPr>
        <w:ind w:left="5040" w:hanging="360"/>
      </w:pPr>
      <w:rPr>
        <w:rFonts w:ascii="Symbol" w:hAnsi="Symbol" w:hint="default"/>
      </w:rPr>
    </w:lvl>
    <w:lvl w:ilvl="7" w:tplc="D0FA7D76">
      <w:start w:val="1"/>
      <w:numFmt w:val="bullet"/>
      <w:lvlText w:val="o"/>
      <w:lvlJc w:val="left"/>
      <w:pPr>
        <w:ind w:left="5760" w:hanging="360"/>
      </w:pPr>
      <w:rPr>
        <w:rFonts w:ascii="Courier New" w:hAnsi="Courier New" w:hint="default"/>
      </w:rPr>
    </w:lvl>
    <w:lvl w:ilvl="8" w:tplc="95E4F8A6">
      <w:start w:val="1"/>
      <w:numFmt w:val="bullet"/>
      <w:lvlText w:val=""/>
      <w:lvlJc w:val="left"/>
      <w:pPr>
        <w:ind w:left="6480" w:hanging="360"/>
      </w:pPr>
      <w:rPr>
        <w:rFonts w:ascii="Wingdings" w:hAnsi="Wingdings" w:hint="default"/>
      </w:rPr>
    </w:lvl>
  </w:abstractNum>
  <w:abstractNum w:abstractNumId="3" w15:restartNumberingAfterBreak="0">
    <w:nsid w:val="18647C90"/>
    <w:multiLevelType w:val="hybridMultilevel"/>
    <w:tmpl w:val="CA2EC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085D49"/>
    <w:multiLevelType w:val="hybridMultilevel"/>
    <w:tmpl w:val="900A55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05D283A"/>
    <w:multiLevelType w:val="hybridMultilevel"/>
    <w:tmpl w:val="F7F2993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E917FC6"/>
    <w:multiLevelType w:val="hybridMultilevel"/>
    <w:tmpl w:val="435C7310"/>
    <w:lvl w:ilvl="0" w:tplc="CCAA4C34">
      <w:start w:val="1"/>
      <w:numFmt w:val="bullet"/>
      <w:lvlText w:val="-"/>
      <w:lvlJc w:val="left"/>
      <w:pPr>
        <w:ind w:left="720" w:hanging="360"/>
      </w:pPr>
      <w:rPr>
        <w:rFonts w:ascii="Calibri" w:hAnsi="Calibri" w:hint="default"/>
      </w:rPr>
    </w:lvl>
    <w:lvl w:ilvl="1" w:tplc="D8AE03FC">
      <w:start w:val="1"/>
      <w:numFmt w:val="bullet"/>
      <w:lvlText w:val="o"/>
      <w:lvlJc w:val="left"/>
      <w:pPr>
        <w:ind w:left="1440" w:hanging="360"/>
      </w:pPr>
      <w:rPr>
        <w:rFonts w:ascii="Courier New" w:hAnsi="Courier New" w:hint="default"/>
      </w:rPr>
    </w:lvl>
    <w:lvl w:ilvl="2" w:tplc="2E189C58">
      <w:start w:val="1"/>
      <w:numFmt w:val="bullet"/>
      <w:lvlText w:val=""/>
      <w:lvlJc w:val="left"/>
      <w:pPr>
        <w:ind w:left="2160" w:hanging="360"/>
      </w:pPr>
      <w:rPr>
        <w:rFonts w:ascii="Wingdings" w:hAnsi="Wingdings" w:hint="default"/>
      </w:rPr>
    </w:lvl>
    <w:lvl w:ilvl="3" w:tplc="765C0B88">
      <w:start w:val="1"/>
      <w:numFmt w:val="bullet"/>
      <w:lvlText w:val=""/>
      <w:lvlJc w:val="left"/>
      <w:pPr>
        <w:ind w:left="2880" w:hanging="360"/>
      </w:pPr>
      <w:rPr>
        <w:rFonts w:ascii="Symbol" w:hAnsi="Symbol" w:hint="default"/>
      </w:rPr>
    </w:lvl>
    <w:lvl w:ilvl="4" w:tplc="D7C8D09E">
      <w:start w:val="1"/>
      <w:numFmt w:val="bullet"/>
      <w:lvlText w:val="o"/>
      <w:lvlJc w:val="left"/>
      <w:pPr>
        <w:ind w:left="3600" w:hanging="360"/>
      </w:pPr>
      <w:rPr>
        <w:rFonts w:ascii="Courier New" w:hAnsi="Courier New" w:hint="default"/>
      </w:rPr>
    </w:lvl>
    <w:lvl w:ilvl="5" w:tplc="E794CB32">
      <w:start w:val="1"/>
      <w:numFmt w:val="bullet"/>
      <w:lvlText w:val=""/>
      <w:lvlJc w:val="left"/>
      <w:pPr>
        <w:ind w:left="4320" w:hanging="360"/>
      </w:pPr>
      <w:rPr>
        <w:rFonts w:ascii="Wingdings" w:hAnsi="Wingdings" w:hint="default"/>
      </w:rPr>
    </w:lvl>
    <w:lvl w:ilvl="6" w:tplc="D1702F4A">
      <w:start w:val="1"/>
      <w:numFmt w:val="bullet"/>
      <w:lvlText w:val=""/>
      <w:lvlJc w:val="left"/>
      <w:pPr>
        <w:ind w:left="5040" w:hanging="360"/>
      </w:pPr>
      <w:rPr>
        <w:rFonts w:ascii="Symbol" w:hAnsi="Symbol" w:hint="default"/>
      </w:rPr>
    </w:lvl>
    <w:lvl w:ilvl="7" w:tplc="A89E388C">
      <w:start w:val="1"/>
      <w:numFmt w:val="bullet"/>
      <w:lvlText w:val="o"/>
      <w:lvlJc w:val="left"/>
      <w:pPr>
        <w:ind w:left="5760" w:hanging="360"/>
      </w:pPr>
      <w:rPr>
        <w:rFonts w:ascii="Courier New" w:hAnsi="Courier New" w:hint="default"/>
      </w:rPr>
    </w:lvl>
    <w:lvl w:ilvl="8" w:tplc="D9983E58">
      <w:start w:val="1"/>
      <w:numFmt w:val="bullet"/>
      <w:lvlText w:val=""/>
      <w:lvlJc w:val="left"/>
      <w:pPr>
        <w:ind w:left="6480" w:hanging="360"/>
      </w:pPr>
      <w:rPr>
        <w:rFonts w:ascii="Wingdings" w:hAnsi="Wingdings" w:hint="default"/>
      </w:rPr>
    </w:lvl>
  </w:abstractNum>
  <w:abstractNum w:abstractNumId="7" w15:restartNumberingAfterBreak="0">
    <w:nsid w:val="416170D9"/>
    <w:multiLevelType w:val="hybridMultilevel"/>
    <w:tmpl w:val="E98AD2E6"/>
    <w:lvl w:ilvl="0" w:tplc="44F27804">
      <w:start w:val="1"/>
      <w:numFmt w:val="bullet"/>
      <w:lvlText w:val="-"/>
      <w:lvlJc w:val="left"/>
      <w:pPr>
        <w:ind w:left="720" w:hanging="360"/>
      </w:pPr>
      <w:rPr>
        <w:rFonts w:ascii="Calibri" w:hAnsi="Calibri" w:hint="default"/>
      </w:rPr>
    </w:lvl>
    <w:lvl w:ilvl="1" w:tplc="9B720934">
      <w:start w:val="1"/>
      <w:numFmt w:val="bullet"/>
      <w:lvlText w:val="o"/>
      <w:lvlJc w:val="left"/>
      <w:pPr>
        <w:ind w:left="1440" w:hanging="360"/>
      </w:pPr>
      <w:rPr>
        <w:rFonts w:ascii="Courier New" w:hAnsi="Courier New" w:hint="default"/>
      </w:rPr>
    </w:lvl>
    <w:lvl w:ilvl="2" w:tplc="844828CE">
      <w:start w:val="1"/>
      <w:numFmt w:val="bullet"/>
      <w:lvlText w:val=""/>
      <w:lvlJc w:val="left"/>
      <w:pPr>
        <w:ind w:left="2160" w:hanging="360"/>
      </w:pPr>
      <w:rPr>
        <w:rFonts w:ascii="Wingdings" w:hAnsi="Wingdings" w:hint="default"/>
      </w:rPr>
    </w:lvl>
    <w:lvl w:ilvl="3" w:tplc="C8AADB02">
      <w:start w:val="1"/>
      <w:numFmt w:val="bullet"/>
      <w:lvlText w:val=""/>
      <w:lvlJc w:val="left"/>
      <w:pPr>
        <w:ind w:left="2880" w:hanging="360"/>
      </w:pPr>
      <w:rPr>
        <w:rFonts w:ascii="Symbol" w:hAnsi="Symbol" w:hint="default"/>
      </w:rPr>
    </w:lvl>
    <w:lvl w:ilvl="4" w:tplc="86304290">
      <w:start w:val="1"/>
      <w:numFmt w:val="bullet"/>
      <w:lvlText w:val="o"/>
      <w:lvlJc w:val="left"/>
      <w:pPr>
        <w:ind w:left="3600" w:hanging="360"/>
      </w:pPr>
      <w:rPr>
        <w:rFonts w:ascii="Courier New" w:hAnsi="Courier New" w:hint="default"/>
      </w:rPr>
    </w:lvl>
    <w:lvl w:ilvl="5" w:tplc="F470F8D2">
      <w:start w:val="1"/>
      <w:numFmt w:val="bullet"/>
      <w:lvlText w:val=""/>
      <w:lvlJc w:val="left"/>
      <w:pPr>
        <w:ind w:left="4320" w:hanging="360"/>
      </w:pPr>
      <w:rPr>
        <w:rFonts w:ascii="Wingdings" w:hAnsi="Wingdings" w:hint="default"/>
      </w:rPr>
    </w:lvl>
    <w:lvl w:ilvl="6" w:tplc="1B7EFCFC">
      <w:start w:val="1"/>
      <w:numFmt w:val="bullet"/>
      <w:lvlText w:val=""/>
      <w:lvlJc w:val="left"/>
      <w:pPr>
        <w:ind w:left="5040" w:hanging="360"/>
      </w:pPr>
      <w:rPr>
        <w:rFonts w:ascii="Symbol" w:hAnsi="Symbol" w:hint="default"/>
      </w:rPr>
    </w:lvl>
    <w:lvl w:ilvl="7" w:tplc="004CC2E8">
      <w:start w:val="1"/>
      <w:numFmt w:val="bullet"/>
      <w:lvlText w:val="o"/>
      <w:lvlJc w:val="left"/>
      <w:pPr>
        <w:ind w:left="5760" w:hanging="360"/>
      </w:pPr>
      <w:rPr>
        <w:rFonts w:ascii="Courier New" w:hAnsi="Courier New" w:hint="default"/>
      </w:rPr>
    </w:lvl>
    <w:lvl w:ilvl="8" w:tplc="CD6AFFD2">
      <w:start w:val="1"/>
      <w:numFmt w:val="bullet"/>
      <w:lvlText w:val=""/>
      <w:lvlJc w:val="left"/>
      <w:pPr>
        <w:ind w:left="6480" w:hanging="360"/>
      </w:pPr>
      <w:rPr>
        <w:rFonts w:ascii="Wingdings" w:hAnsi="Wingdings" w:hint="default"/>
      </w:rPr>
    </w:lvl>
  </w:abstractNum>
  <w:abstractNum w:abstractNumId="8" w15:restartNumberingAfterBreak="0">
    <w:nsid w:val="4CC86148"/>
    <w:multiLevelType w:val="hybridMultilevel"/>
    <w:tmpl w:val="92C04094"/>
    <w:lvl w:ilvl="0" w:tplc="040C0001">
      <w:start w:val="1"/>
      <w:numFmt w:val="bullet"/>
      <w:lvlText w:val=""/>
      <w:lvlJc w:val="left"/>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9" w15:restartNumberingAfterBreak="0">
    <w:nsid w:val="4D806B11"/>
    <w:multiLevelType w:val="hybridMultilevel"/>
    <w:tmpl w:val="FDD21FEC"/>
    <w:lvl w:ilvl="0" w:tplc="2DFC6AC8">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4E403AF3"/>
    <w:multiLevelType w:val="multilevel"/>
    <w:tmpl w:val="7500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53091A"/>
    <w:multiLevelType w:val="hybridMultilevel"/>
    <w:tmpl w:val="9FEE00A2"/>
    <w:lvl w:ilvl="0" w:tplc="C7E07D82">
      <w:start w:val="1"/>
      <w:numFmt w:val="bullet"/>
      <w:lvlText w:val="-"/>
      <w:lvlJc w:val="left"/>
      <w:pPr>
        <w:ind w:left="720" w:hanging="360"/>
      </w:pPr>
      <w:rPr>
        <w:rFonts w:ascii="Calibri" w:hAnsi="Calibri" w:hint="default"/>
      </w:rPr>
    </w:lvl>
    <w:lvl w:ilvl="1" w:tplc="568CC95E">
      <w:start w:val="1"/>
      <w:numFmt w:val="bullet"/>
      <w:lvlText w:val="o"/>
      <w:lvlJc w:val="left"/>
      <w:pPr>
        <w:ind w:left="1440" w:hanging="360"/>
      </w:pPr>
      <w:rPr>
        <w:rFonts w:ascii="Courier New" w:hAnsi="Courier New" w:hint="default"/>
      </w:rPr>
    </w:lvl>
    <w:lvl w:ilvl="2" w:tplc="AFC6C32C">
      <w:start w:val="1"/>
      <w:numFmt w:val="bullet"/>
      <w:lvlText w:val=""/>
      <w:lvlJc w:val="left"/>
      <w:pPr>
        <w:ind w:left="2160" w:hanging="360"/>
      </w:pPr>
      <w:rPr>
        <w:rFonts w:ascii="Wingdings" w:hAnsi="Wingdings" w:hint="default"/>
      </w:rPr>
    </w:lvl>
    <w:lvl w:ilvl="3" w:tplc="117626AA">
      <w:start w:val="1"/>
      <w:numFmt w:val="bullet"/>
      <w:lvlText w:val=""/>
      <w:lvlJc w:val="left"/>
      <w:pPr>
        <w:ind w:left="2880" w:hanging="360"/>
      </w:pPr>
      <w:rPr>
        <w:rFonts w:ascii="Symbol" w:hAnsi="Symbol" w:hint="default"/>
      </w:rPr>
    </w:lvl>
    <w:lvl w:ilvl="4" w:tplc="92346A64">
      <w:start w:val="1"/>
      <w:numFmt w:val="bullet"/>
      <w:lvlText w:val="o"/>
      <w:lvlJc w:val="left"/>
      <w:pPr>
        <w:ind w:left="3600" w:hanging="360"/>
      </w:pPr>
      <w:rPr>
        <w:rFonts w:ascii="Courier New" w:hAnsi="Courier New" w:hint="default"/>
      </w:rPr>
    </w:lvl>
    <w:lvl w:ilvl="5" w:tplc="F5A2CBFC">
      <w:start w:val="1"/>
      <w:numFmt w:val="bullet"/>
      <w:lvlText w:val=""/>
      <w:lvlJc w:val="left"/>
      <w:pPr>
        <w:ind w:left="4320" w:hanging="360"/>
      </w:pPr>
      <w:rPr>
        <w:rFonts w:ascii="Wingdings" w:hAnsi="Wingdings" w:hint="default"/>
      </w:rPr>
    </w:lvl>
    <w:lvl w:ilvl="6" w:tplc="1E563F5A">
      <w:start w:val="1"/>
      <w:numFmt w:val="bullet"/>
      <w:lvlText w:val=""/>
      <w:lvlJc w:val="left"/>
      <w:pPr>
        <w:ind w:left="5040" w:hanging="360"/>
      </w:pPr>
      <w:rPr>
        <w:rFonts w:ascii="Symbol" w:hAnsi="Symbol" w:hint="default"/>
      </w:rPr>
    </w:lvl>
    <w:lvl w:ilvl="7" w:tplc="D86056D2">
      <w:start w:val="1"/>
      <w:numFmt w:val="bullet"/>
      <w:lvlText w:val="o"/>
      <w:lvlJc w:val="left"/>
      <w:pPr>
        <w:ind w:left="5760" w:hanging="360"/>
      </w:pPr>
      <w:rPr>
        <w:rFonts w:ascii="Courier New" w:hAnsi="Courier New" w:hint="default"/>
      </w:rPr>
    </w:lvl>
    <w:lvl w:ilvl="8" w:tplc="41829554">
      <w:start w:val="1"/>
      <w:numFmt w:val="bullet"/>
      <w:lvlText w:val=""/>
      <w:lvlJc w:val="left"/>
      <w:pPr>
        <w:ind w:left="6480" w:hanging="360"/>
      </w:pPr>
      <w:rPr>
        <w:rFonts w:ascii="Wingdings" w:hAnsi="Wingdings" w:hint="default"/>
      </w:rPr>
    </w:lvl>
  </w:abstractNum>
  <w:abstractNum w:abstractNumId="12" w15:restartNumberingAfterBreak="0">
    <w:nsid w:val="5E1A4EA2"/>
    <w:multiLevelType w:val="hybridMultilevel"/>
    <w:tmpl w:val="7FFEC670"/>
    <w:lvl w:ilvl="0" w:tplc="2AF6A74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7957ED2"/>
    <w:multiLevelType w:val="multilevel"/>
    <w:tmpl w:val="1EFE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281B08"/>
    <w:multiLevelType w:val="multilevel"/>
    <w:tmpl w:val="7FBA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9437DE"/>
    <w:multiLevelType w:val="hybridMultilevel"/>
    <w:tmpl w:val="7FA4352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11"/>
  </w:num>
  <w:num w:numId="5">
    <w:abstractNumId w:val="2"/>
  </w:num>
  <w:num w:numId="6">
    <w:abstractNumId w:val="13"/>
  </w:num>
  <w:num w:numId="7">
    <w:abstractNumId w:val="14"/>
  </w:num>
  <w:num w:numId="8">
    <w:abstractNumId w:val="10"/>
  </w:num>
  <w:num w:numId="9">
    <w:abstractNumId w:val="5"/>
  </w:num>
  <w:num w:numId="10">
    <w:abstractNumId w:val="9"/>
  </w:num>
  <w:num w:numId="11">
    <w:abstractNumId w:val="15"/>
  </w:num>
  <w:num w:numId="12">
    <w:abstractNumId w:val="4"/>
  </w:num>
  <w:num w:numId="13">
    <w:abstractNumId w:val="1"/>
  </w:num>
  <w:num w:numId="14">
    <w:abstractNumId w:val="8"/>
  </w:num>
  <w:num w:numId="15">
    <w:abstractNumId w:val="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71E"/>
    <w:rsid w:val="00033BEB"/>
    <w:rsid w:val="00035E67"/>
    <w:rsid w:val="000605BB"/>
    <w:rsid w:val="00063AD2"/>
    <w:rsid w:val="000677D6"/>
    <w:rsid w:val="00068707"/>
    <w:rsid w:val="000745BC"/>
    <w:rsid w:val="000812F8"/>
    <w:rsid w:val="0008404D"/>
    <w:rsid w:val="000A2A8E"/>
    <w:rsid w:val="000A7957"/>
    <w:rsid w:val="000B088D"/>
    <w:rsid w:val="000E3880"/>
    <w:rsid w:val="000E6E26"/>
    <w:rsid w:val="000E77DB"/>
    <w:rsid w:val="000F0D7C"/>
    <w:rsid w:val="0010382F"/>
    <w:rsid w:val="001108FB"/>
    <w:rsid w:val="00110B52"/>
    <w:rsid w:val="00116BA5"/>
    <w:rsid w:val="00120A4B"/>
    <w:rsid w:val="001240C4"/>
    <w:rsid w:val="0012949A"/>
    <w:rsid w:val="0013283D"/>
    <w:rsid w:val="00134528"/>
    <w:rsid w:val="00156BB4"/>
    <w:rsid w:val="00167774"/>
    <w:rsid w:val="00170F76"/>
    <w:rsid w:val="00182CFD"/>
    <w:rsid w:val="0018493C"/>
    <w:rsid w:val="00191FF0"/>
    <w:rsid w:val="00194FBD"/>
    <w:rsid w:val="0019637C"/>
    <w:rsid w:val="001B330C"/>
    <w:rsid w:val="001C3F47"/>
    <w:rsid w:val="001C5C79"/>
    <w:rsid w:val="001D19E2"/>
    <w:rsid w:val="001D4CEF"/>
    <w:rsid w:val="001D657D"/>
    <w:rsid w:val="001F3F0C"/>
    <w:rsid w:val="001F6E89"/>
    <w:rsid w:val="00213AC5"/>
    <w:rsid w:val="00215A7C"/>
    <w:rsid w:val="0024280E"/>
    <w:rsid w:val="00270781"/>
    <w:rsid w:val="00275EBC"/>
    <w:rsid w:val="002A0724"/>
    <w:rsid w:val="002B0CB0"/>
    <w:rsid w:val="002B7BCC"/>
    <w:rsid w:val="002C32F7"/>
    <w:rsid w:val="002C667E"/>
    <w:rsid w:val="002E1A23"/>
    <w:rsid w:val="002E1F23"/>
    <w:rsid w:val="002F08B3"/>
    <w:rsid w:val="00304B7A"/>
    <w:rsid w:val="003145CB"/>
    <w:rsid w:val="003372AA"/>
    <w:rsid w:val="003569A1"/>
    <w:rsid w:val="003647C4"/>
    <w:rsid w:val="0037763F"/>
    <w:rsid w:val="00380052"/>
    <w:rsid w:val="003903AD"/>
    <w:rsid w:val="00391C68"/>
    <w:rsid w:val="003A2ED1"/>
    <w:rsid w:val="003A5DC4"/>
    <w:rsid w:val="003B0D46"/>
    <w:rsid w:val="003C6B5C"/>
    <w:rsid w:val="003D591A"/>
    <w:rsid w:val="003E6463"/>
    <w:rsid w:val="003F0991"/>
    <w:rsid w:val="003F61CF"/>
    <w:rsid w:val="003F6341"/>
    <w:rsid w:val="004065A4"/>
    <w:rsid w:val="00410DA6"/>
    <w:rsid w:val="00420651"/>
    <w:rsid w:val="00423E37"/>
    <w:rsid w:val="00435BAD"/>
    <w:rsid w:val="00440A1F"/>
    <w:rsid w:val="00443872"/>
    <w:rsid w:val="004469AC"/>
    <w:rsid w:val="004624D5"/>
    <w:rsid w:val="004806FA"/>
    <w:rsid w:val="004A09AE"/>
    <w:rsid w:val="004A406B"/>
    <w:rsid w:val="004A6CDA"/>
    <w:rsid w:val="004B450D"/>
    <w:rsid w:val="004B66D8"/>
    <w:rsid w:val="004C399A"/>
    <w:rsid w:val="004D1038"/>
    <w:rsid w:val="004D3CB3"/>
    <w:rsid w:val="004E6DAA"/>
    <w:rsid w:val="004F5488"/>
    <w:rsid w:val="005029CA"/>
    <w:rsid w:val="00527737"/>
    <w:rsid w:val="0053A344"/>
    <w:rsid w:val="0056525F"/>
    <w:rsid w:val="0057226B"/>
    <w:rsid w:val="00592A55"/>
    <w:rsid w:val="00593E4C"/>
    <w:rsid w:val="005C4E0D"/>
    <w:rsid w:val="005C7E2C"/>
    <w:rsid w:val="005D1D29"/>
    <w:rsid w:val="005D33FB"/>
    <w:rsid w:val="005D7508"/>
    <w:rsid w:val="005E1901"/>
    <w:rsid w:val="005E5744"/>
    <w:rsid w:val="005F4004"/>
    <w:rsid w:val="005F4F80"/>
    <w:rsid w:val="006102F1"/>
    <w:rsid w:val="006339C3"/>
    <w:rsid w:val="006356CD"/>
    <w:rsid w:val="00647ABE"/>
    <w:rsid w:val="00663F7D"/>
    <w:rsid w:val="00666775"/>
    <w:rsid w:val="00675EC7"/>
    <w:rsid w:val="00682B69"/>
    <w:rsid w:val="00683D3E"/>
    <w:rsid w:val="0068657E"/>
    <w:rsid w:val="00694259"/>
    <w:rsid w:val="006A5307"/>
    <w:rsid w:val="006B0D21"/>
    <w:rsid w:val="006B7FE4"/>
    <w:rsid w:val="006E2151"/>
    <w:rsid w:val="006F521C"/>
    <w:rsid w:val="00703E6F"/>
    <w:rsid w:val="00710409"/>
    <w:rsid w:val="00724019"/>
    <w:rsid w:val="007317AD"/>
    <w:rsid w:val="00742D9E"/>
    <w:rsid w:val="00747667"/>
    <w:rsid w:val="00747CF2"/>
    <w:rsid w:val="00752CF2"/>
    <w:rsid w:val="00757A0F"/>
    <w:rsid w:val="00780210"/>
    <w:rsid w:val="0078296F"/>
    <w:rsid w:val="007A5C5C"/>
    <w:rsid w:val="007B6CDD"/>
    <w:rsid w:val="007C22A4"/>
    <w:rsid w:val="007D7301"/>
    <w:rsid w:val="007F6E94"/>
    <w:rsid w:val="00820767"/>
    <w:rsid w:val="00822181"/>
    <w:rsid w:val="00827824"/>
    <w:rsid w:val="008359C4"/>
    <w:rsid w:val="008418EC"/>
    <w:rsid w:val="00850FA9"/>
    <w:rsid w:val="0086119E"/>
    <w:rsid w:val="00862B75"/>
    <w:rsid w:val="008760A5"/>
    <w:rsid w:val="00885A90"/>
    <w:rsid w:val="008951F5"/>
    <w:rsid w:val="008B7492"/>
    <w:rsid w:val="008F1882"/>
    <w:rsid w:val="008F51F9"/>
    <w:rsid w:val="00911755"/>
    <w:rsid w:val="009277EE"/>
    <w:rsid w:val="0094688C"/>
    <w:rsid w:val="00952727"/>
    <w:rsid w:val="009543FA"/>
    <w:rsid w:val="00980331"/>
    <w:rsid w:val="009A0DED"/>
    <w:rsid w:val="009A7E95"/>
    <w:rsid w:val="009B06B0"/>
    <w:rsid w:val="009D1B09"/>
    <w:rsid w:val="009D34B5"/>
    <w:rsid w:val="009E0931"/>
    <w:rsid w:val="009F1065"/>
    <w:rsid w:val="00A04167"/>
    <w:rsid w:val="00A10B78"/>
    <w:rsid w:val="00A24C18"/>
    <w:rsid w:val="00A274C0"/>
    <w:rsid w:val="00A50BC7"/>
    <w:rsid w:val="00A63A1A"/>
    <w:rsid w:val="00A87C41"/>
    <w:rsid w:val="00AB2B46"/>
    <w:rsid w:val="00AC5682"/>
    <w:rsid w:val="00AC7D96"/>
    <w:rsid w:val="00AD5184"/>
    <w:rsid w:val="00AD63F7"/>
    <w:rsid w:val="00AF2D16"/>
    <w:rsid w:val="00AF5576"/>
    <w:rsid w:val="00AF6789"/>
    <w:rsid w:val="00B05355"/>
    <w:rsid w:val="00B118FE"/>
    <w:rsid w:val="00B12848"/>
    <w:rsid w:val="00B255EE"/>
    <w:rsid w:val="00B3126B"/>
    <w:rsid w:val="00B31C63"/>
    <w:rsid w:val="00B516A9"/>
    <w:rsid w:val="00B56952"/>
    <w:rsid w:val="00B6140C"/>
    <w:rsid w:val="00B777DE"/>
    <w:rsid w:val="00B802B4"/>
    <w:rsid w:val="00B9270D"/>
    <w:rsid w:val="00BB6EBF"/>
    <w:rsid w:val="00BC6167"/>
    <w:rsid w:val="00BD4725"/>
    <w:rsid w:val="00BE5D78"/>
    <w:rsid w:val="00C1729C"/>
    <w:rsid w:val="00C30D0B"/>
    <w:rsid w:val="00C320E5"/>
    <w:rsid w:val="00C5155A"/>
    <w:rsid w:val="00C718C4"/>
    <w:rsid w:val="00C76F39"/>
    <w:rsid w:val="00C80DF1"/>
    <w:rsid w:val="00C812C7"/>
    <w:rsid w:val="00C8348D"/>
    <w:rsid w:val="00CA0F4B"/>
    <w:rsid w:val="00CC75E3"/>
    <w:rsid w:val="00CE212D"/>
    <w:rsid w:val="00CF0939"/>
    <w:rsid w:val="00CF4D3C"/>
    <w:rsid w:val="00D04832"/>
    <w:rsid w:val="00D23A44"/>
    <w:rsid w:val="00D34D7F"/>
    <w:rsid w:val="00D370CD"/>
    <w:rsid w:val="00D435A4"/>
    <w:rsid w:val="00D51114"/>
    <w:rsid w:val="00D54932"/>
    <w:rsid w:val="00D601C9"/>
    <w:rsid w:val="00D617EB"/>
    <w:rsid w:val="00D627B1"/>
    <w:rsid w:val="00D74CE6"/>
    <w:rsid w:val="00D74E90"/>
    <w:rsid w:val="00D81C1E"/>
    <w:rsid w:val="00D82FB7"/>
    <w:rsid w:val="00D90C96"/>
    <w:rsid w:val="00D90D6B"/>
    <w:rsid w:val="00DA5F95"/>
    <w:rsid w:val="00DB2FFC"/>
    <w:rsid w:val="00DD1A0A"/>
    <w:rsid w:val="00DD4718"/>
    <w:rsid w:val="00DF48B3"/>
    <w:rsid w:val="00DFD6FF"/>
    <w:rsid w:val="00E03305"/>
    <w:rsid w:val="00E03828"/>
    <w:rsid w:val="00E04280"/>
    <w:rsid w:val="00E07C2E"/>
    <w:rsid w:val="00E1619F"/>
    <w:rsid w:val="00E22E2C"/>
    <w:rsid w:val="00E24626"/>
    <w:rsid w:val="00E333D9"/>
    <w:rsid w:val="00E34568"/>
    <w:rsid w:val="00E37817"/>
    <w:rsid w:val="00E41F83"/>
    <w:rsid w:val="00E438E4"/>
    <w:rsid w:val="00E44BA2"/>
    <w:rsid w:val="00E51AA3"/>
    <w:rsid w:val="00E5571E"/>
    <w:rsid w:val="00E71626"/>
    <w:rsid w:val="00E85F1D"/>
    <w:rsid w:val="00E90C5D"/>
    <w:rsid w:val="00E91151"/>
    <w:rsid w:val="00EE419A"/>
    <w:rsid w:val="00EF284D"/>
    <w:rsid w:val="00F00140"/>
    <w:rsid w:val="00F01505"/>
    <w:rsid w:val="00F01963"/>
    <w:rsid w:val="00F01C5C"/>
    <w:rsid w:val="00F15D52"/>
    <w:rsid w:val="00F21202"/>
    <w:rsid w:val="00F315F2"/>
    <w:rsid w:val="00F567D8"/>
    <w:rsid w:val="00F57241"/>
    <w:rsid w:val="00F70AB5"/>
    <w:rsid w:val="00F72290"/>
    <w:rsid w:val="00F77D80"/>
    <w:rsid w:val="00F902C2"/>
    <w:rsid w:val="00F91985"/>
    <w:rsid w:val="00FA42C8"/>
    <w:rsid w:val="00FB4D25"/>
    <w:rsid w:val="00FB5D98"/>
    <w:rsid w:val="00FC0382"/>
    <w:rsid w:val="00FC41DD"/>
    <w:rsid w:val="0114B9AA"/>
    <w:rsid w:val="013CA9BD"/>
    <w:rsid w:val="0197E0C9"/>
    <w:rsid w:val="01CA7FF1"/>
    <w:rsid w:val="01F65696"/>
    <w:rsid w:val="02323653"/>
    <w:rsid w:val="02FEE428"/>
    <w:rsid w:val="035DBE4A"/>
    <w:rsid w:val="03836AB5"/>
    <w:rsid w:val="03B38321"/>
    <w:rsid w:val="040C9D20"/>
    <w:rsid w:val="043DD3F9"/>
    <w:rsid w:val="0441D9FD"/>
    <w:rsid w:val="04682DF6"/>
    <w:rsid w:val="04D76999"/>
    <w:rsid w:val="04FF42B1"/>
    <w:rsid w:val="05040211"/>
    <w:rsid w:val="05271467"/>
    <w:rsid w:val="056AB938"/>
    <w:rsid w:val="0577BEF3"/>
    <w:rsid w:val="0590B942"/>
    <w:rsid w:val="059600B1"/>
    <w:rsid w:val="05BE2DCD"/>
    <w:rsid w:val="05CB74D0"/>
    <w:rsid w:val="05D6E5F2"/>
    <w:rsid w:val="05DDAA5E"/>
    <w:rsid w:val="061A1922"/>
    <w:rsid w:val="063A227E"/>
    <w:rsid w:val="06955F0C"/>
    <w:rsid w:val="06BA00BF"/>
    <w:rsid w:val="07996C47"/>
    <w:rsid w:val="07ED2703"/>
    <w:rsid w:val="08548C70"/>
    <w:rsid w:val="0858956B"/>
    <w:rsid w:val="0860F860"/>
    <w:rsid w:val="09278216"/>
    <w:rsid w:val="093BF864"/>
    <w:rsid w:val="09598F5D"/>
    <w:rsid w:val="095FE348"/>
    <w:rsid w:val="097E88BD"/>
    <w:rsid w:val="09B89115"/>
    <w:rsid w:val="09BD95F4"/>
    <w:rsid w:val="09E53BC6"/>
    <w:rsid w:val="0A605CBB"/>
    <w:rsid w:val="0A86F5B6"/>
    <w:rsid w:val="0A9A0AA7"/>
    <w:rsid w:val="0AC2DEDC"/>
    <w:rsid w:val="0AC6FD82"/>
    <w:rsid w:val="0B05B57E"/>
    <w:rsid w:val="0B210189"/>
    <w:rsid w:val="0B2AE40D"/>
    <w:rsid w:val="0B501907"/>
    <w:rsid w:val="0BA49086"/>
    <w:rsid w:val="0C515C7B"/>
    <w:rsid w:val="0C8A41DF"/>
    <w:rsid w:val="0C8C705B"/>
    <w:rsid w:val="0CAC532D"/>
    <w:rsid w:val="0CF04B23"/>
    <w:rsid w:val="0D191C03"/>
    <w:rsid w:val="0D21E388"/>
    <w:rsid w:val="0D7A323E"/>
    <w:rsid w:val="0D9F8B98"/>
    <w:rsid w:val="0DA67E57"/>
    <w:rsid w:val="0DAE9E5E"/>
    <w:rsid w:val="0DB3FA01"/>
    <w:rsid w:val="0DF86383"/>
    <w:rsid w:val="0E0768B3"/>
    <w:rsid w:val="0E40A58E"/>
    <w:rsid w:val="0E41BA53"/>
    <w:rsid w:val="0E6284CF"/>
    <w:rsid w:val="0E7B0D02"/>
    <w:rsid w:val="0E7BAD2C"/>
    <w:rsid w:val="0EFB499D"/>
    <w:rsid w:val="0F12A5D8"/>
    <w:rsid w:val="0F15FCCA"/>
    <w:rsid w:val="0F33CDDE"/>
    <w:rsid w:val="0F8759C3"/>
    <w:rsid w:val="0FA33914"/>
    <w:rsid w:val="0FB45041"/>
    <w:rsid w:val="0FBA0550"/>
    <w:rsid w:val="0FC6EF58"/>
    <w:rsid w:val="10238A2A"/>
    <w:rsid w:val="1063E79E"/>
    <w:rsid w:val="1089C0D3"/>
    <w:rsid w:val="10B644E4"/>
    <w:rsid w:val="10D92796"/>
    <w:rsid w:val="10F46D38"/>
    <w:rsid w:val="11205D05"/>
    <w:rsid w:val="1132D164"/>
    <w:rsid w:val="115AB0A7"/>
    <w:rsid w:val="116BAA94"/>
    <w:rsid w:val="11A8AAEB"/>
    <w:rsid w:val="11CCC8C7"/>
    <w:rsid w:val="120669CD"/>
    <w:rsid w:val="120B9062"/>
    <w:rsid w:val="121029F5"/>
    <w:rsid w:val="1291A2F4"/>
    <w:rsid w:val="12BD6EF3"/>
    <w:rsid w:val="12F85E43"/>
    <w:rsid w:val="13485B97"/>
    <w:rsid w:val="139AB997"/>
    <w:rsid w:val="13C4FF7D"/>
    <w:rsid w:val="13DEE855"/>
    <w:rsid w:val="1404B785"/>
    <w:rsid w:val="14AC0891"/>
    <w:rsid w:val="14BA0248"/>
    <w:rsid w:val="15748559"/>
    <w:rsid w:val="15810030"/>
    <w:rsid w:val="164DC3D3"/>
    <w:rsid w:val="1664F94B"/>
    <w:rsid w:val="168901D1"/>
    <w:rsid w:val="170CBB78"/>
    <w:rsid w:val="1715EBE4"/>
    <w:rsid w:val="177D6793"/>
    <w:rsid w:val="180E0F2F"/>
    <w:rsid w:val="187DD1C4"/>
    <w:rsid w:val="189E7C76"/>
    <w:rsid w:val="191937F4"/>
    <w:rsid w:val="193DCD29"/>
    <w:rsid w:val="199C9A0D"/>
    <w:rsid w:val="1A3A4CD7"/>
    <w:rsid w:val="1A9CB80D"/>
    <w:rsid w:val="1A9E27AD"/>
    <w:rsid w:val="1AB50855"/>
    <w:rsid w:val="1AEB43EA"/>
    <w:rsid w:val="1AF442B1"/>
    <w:rsid w:val="1AF559B8"/>
    <w:rsid w:val="1B175CD0"/>
    <w:rsid w:val="1B4107D7"/>
    <w:rsid w:val="1B6D7CA5"/>
    <w:rsid w:val="1B7777A5"/>
    <w:rsid w:val="1B8E0B77"/>
    <w:rsid w:val="1C76D555"/>
    <w:rsid w:val="1CD43ACF"/>
    <w:rsid w:val="1CF9EC6B"/>
    <w:rsid w:val="1D013C8F"/>
    <w:rsid w:val="1D337A89"/>
    <w:rsid w:val="1D364A6A"/>
    <w:rsid w:val="1D530020"/>
    <w:rsid w:val="1E066EAC"/>
    <w:rsid w:val="1E3C463F"/>
    <w:rsid w:val="1E4EE9F1"/>
    <w:rsid w:val="1E9A6524"/>
    <w:rsid w:val="1EAAF9F5"/>
    <w:rsid w:val="1EE73330"/>
    <w:rsid w:val="1F1E4880"/>
    <w:rsid w:val="1FA6D3D7"/>
    <w:rsid w:val="2001495C"/>
    <w:rsid w:val="20092347"/>
    <w:rsid w:val="201A89E1"/>
    <w:rsid w:val="204737D4"/>
    <w:rsid w:val="207785F1"/>
    <w:rsid w:val="208E81F4"/>
    <w:rsid w:val="210EFF2A"/>
    <w:rsid w:val="215A856E"/>
    <w:rsid w:val="216AE6BD"/>
    <w:rsid w:val="2173E701"/>
    <w:rsid w:val="217A8634"/>
    <w:rsid w:val="217C6945"/>
    <w:rsid w:val="2186688D"/>
    <w:rsid w:val="21A7ABF2"/>
    <w:rsid w:val="21C971B8"/>
    <w:rsid w:val="21FD4CFB"/>
    <w:rsid w:val="22079766"/>
    <w:rsid w:val="2288F3D5"/>
    <w:rsid w:val="2289E16E"/>
    <w:rsid w:val="22AC0ED1"/>
    <w:rsid w:val="22BAE451"/>
    <w:rsid w:val="230A0253"/>
    <w:rsid w:val="23437C53"/>
    <w:rsid w:val="23CB0B22"/>
    <w:rsid w:val="23E5D8E4"/>
    <w:rsid w:val="2486FE2E"/>
    <w:rsid w:val="24AB4E8D"/>
    <w:rsid w:val="24C9EC72"/>
    <w:rsid w:val="24F7FD61"/>
    <w:rsid w:val="2562446E"/>
    <w:rsid w:val="2562B261"/>
    <w:rsid w:val="259C9982"/>
    <w:rsid w:val="25D67220"/>
    <w:rsid w:val="260963D9"/>
    <w:rsid w:val="262DF691"/>
    <w:rsid w:val="26475824"/>
    <w:rsid w:val="2698537E"/>
    <w:rsid w:val="27174625"/>
    <w:rsid w:val="275EAD3B"/>
    <w:rsid w:val="27ED755A"/>
    <w:rsid w:val="2831D616"/>
    <w:rsid w:val="2839277A"/>
    <w:rsid w:val="285BD557"/>
    <w:rsid w:val="286305B5"/>
    <w:rsid w:val="28651510"/>
    <w:rsid w:val="287A8C93"/>
    <w:rsid w:val="289A5323"/>
    <w:rsid w:val="289CB19C"/>
    <w:rsid w:val="2905DAAA"/>
    <w:rsid w:val="2909113F"/>
    <w:rsid w:val="293CB7C4"/>
    <w:rsid w:val="295D71EA"/>
    <w:rsid w:val="2973860B"/>
    <w:rsid w:val="29A530DC"/>
    <w:rsid w:val="29EB668A"/>
    <w:rsid w:val="29F1A2D8"/>
    <w:rsid w:val="2A22F675"/>
    <w:rsid w:val="2A3A47BE"/>
    <w:rsid w:val="2A660F40"/>
    <w:rsid w:val="2A94C7D6"/>
    <w:rsid w:val="2B148267"/>
    <w:rsid w:val="2B22F797"/>
    <w:rsid w:val="2C1AD7E5"/>
    <w:rsid w:val="2C2DDABA"/>
    <w:rsid w:val="2C35A8E0"/>
    <w:rsid w:val="2C4AEE94"/>
    <w:rsid w:val="2C98445F"/>
    <w:rsid w:val="2CA5259B"/>
    <w:rsid w:val="2CB78348"/>
    <w:rsid w:val="2D0465F6"/>
    <w:rsid w:val="2DC4CE4B"/>
    <w:rsid w:val="2E1D2EC3"/>
    <w:rsid w:val="2E1D78C3"/>
    <w:rsid w:val="2EC4D7F7"/>
    <w:rsid w:val="2ECB539A"/>
    <w:rsid w:val="2EE613B3"/>
    <w:rsid w:val="2EE68E85"/>
    <w:rsid w:val="2F1CB650"/>
    <w:rsid w:val="2F23A3FD"/>
    <w:rsid w:val="2F6E0F13"/>
    <w:rsid w:val="2F828F56"/>
    <w:rsid w:val="2F989A22"/>
    <w:rsid w:val="2FA431F6"/>
    <w:rsid w:val="2FC572BE"/>
    <w:rsid w:val="2FDD9451"/>
    <w:rsid w:val="300BC740"/>
    <w:rsid w:val="3054B4E6"/>
    <w:rsid w:val="30B4C6BD"/>
    <w:rsid w:val="30C79FAB"/>
    <w:rsid w:val="30DA5091"/>
    <w:rsid w:val="3170A938"/>
    <w:rsid w:val="317896BE"/>
    <w:rsid w:val="3195A727"/>
    <w:rsid w:val="31B441F2"/>
    <w:rsid w:val="31B8604E"/>
    <w:rsid w:val="31E3E54C"/>
    <w:rsid w:val="320B5A1A"/>
    <w:rsid w:val="321222AA"/>
    <w:rsid w:val="324163AB"/>
    <w:rsid w:val="3247C703"/>
    <w:rsid w:val="327AB8EC"/>
    <w:rsid w:val="32B36DAC"/>
    <w:rsid w:val="333F7087"/>
    <w:rsid w:val="334BC5F1"/>
    <w:rsid w:val="3394CAAE"/>
    <w:rsid w:val="33AACC75"/>
    <w:rsid w:val="33B984D6"/>
    <w:rsid w:val="33DD340C"/>
    <w:rsid w:val="34045E8F"/>
    <w:rsid w:val="342391DE"/>
    <w:rsid w:val="34343AB3"/>
    <w:rsid w:val="34B03780"/>
    <w:rsid w:val="34B371C4"/>
    <w:rsid w:val="352CAF92"/>
    <w:rsid w:val="3542494F"/>
    <w:rsid w:val="35555537"/>
    <w:rsid w:val="355FADCE"/>
    <w:rsid w:val="3579046D"/>
    <w:rsid w:val="35D24B53"/>
    <w:rsid w:val="35E5C347"/>
    <w:rsid w:val="36280247"/>
    <w:rsid w:val="364B5866"/>
    <w:rsid w:val="36B7E7BB"/>
    <w:rsid w:val="36CCD19B"/>
    <w:rsid w:val="36E755FF"/>
    <w:rsid w:val="36F12598"/>
    <w:rsid w:val="36FAEDB8"/>
    <w:rsid w:val="377C6664"/>
    <w:rsid w:val="379B59EC"/>
    <w:rsid w:val="37B4323D"/>
    <w:rsid w:val="37BB581A"/>
    <w:rsid w:val="37BD858F"/>
    <w:rsid w:val="38418B27"/>
    <w:rsid w:val="38434B00"/>
    <w:rsid w:val="38645054"/>
    <w:rsid w:val="38866A34"/>
    <w:rsid w:val="390BCAF6"/>
    <w:rsid w:val="390C0611"/>
    <w:rsid w:val="391A0410"/>
    <w:rsid w:val="395CEB60"/>
    <w:rsid w:val="39653F83"/>
    <w:rsid w:val="3980C9EC"/>
    <w:rsid w:val="39E86686"/>
    <w:rsid w:val="39F3092B"/>
    <w:rsid w:val="39F77A80"/>
    <w:rsid w:val="3A05F620"/>
    <w:rsid w:val="3A0E7272"/>
    <w:rsid w:val="3A5F68F7"/>
    <w:rsid w:val="3A750903"/>
    <w:rsid w:val="3AEBBF97"/>
    <w:rsid w:val="3AF14435"/>
    <w:rsid w:val="3B13F33C"/>
    <w:rsid w:val="3B4C42A6"/>
    <w:rsid w:val="3B823988"/>
    <w:rsid w:val="3B8436E7"/>
    <w:rsid w:val="3B855035"/>
    <w:rsid w:val="3BA1D018"/>
    <w:rsid w:val="3BCEFF1B"/>
    <w:rsid w:val="3BDC0F13"/>
    <w:rsid w:val="3BE3C0C9"/>
    <w:rsid w:val="3C027BC0"/>
    <w:rsid w:val="3C1EE99B"/>
    <w:rsid w:val="3C29EC56"/>
    <w:rsid w:val="3C320BB2"/>
    <w:rsid w:val="3C436654"/>
    <w:rsid w:val="3C94EDA1"/>
    <w:rsid w:val="3C9743CB"/>
    <w:rsid w:val="3CDC08E4"/>
    <w:rsid w:val="3D15A04A"/>
    <w:rsid w:val="3D371880"/>
    <w:rsid w:val="3D394FC5"/>
    <w:rsid w:val="3D836DC7"/>
    <w:rsid w:val="3D8DF675"/>
    <w:rsid w:val="3DDB1CF9"/>
    <w:rsid w:val="3E027843"/>
    <w:rsid w:val="3E1FBA70"/>
    <w:rsid w:val="3E2C2264"/>
    <w:rsid w:val="3E5D8F3D"/>
    <w:rsid w:val="3EB0B684"/>
    <w:rsid w:val="3EDC2DC0"/>
    <w:rsid w:val="3F107CDC"/>
    <w:rsid w:val="3F38C54E"/>
    <w:rsid w:val="3F47A3C5"/>
    <w:rsid w:val="3FB5FA91"/>
    <w:rsid w:val="3FB84E25"/>
    <w:rsid w:val="3FCBD5E7"/>
    <w:rsid w:val="407BCF98"/>
    <w:rsid w:val="40D23A06"/>
    <w:rsid w:val="4128F77B"/>
    <w:rsid w:val="4162B732"/>
    <w:rsid w:val="41B85E0B"/>
    <w:rsid w:val="421AC60D"/>
    <w:rsid w:val="4228D212"/>
    <w:rsid w:val="42366B3A"/>
    <w:rsid w:val="424C19AA"/>
    <w:rsid w:val="425B1602"/>
    <w:rsid w:val="426323E1"/>
    <w:rsid w:val="430C512F"/>
    <w:rsid w:val="43180121"/>
    <w:rsid w:val="434AFFC1"/>
    <w:rsid w:val="435045EB"/>
    <w:rsid w:val="43542E6C"/>
    <w:rsid w:val="435E3DCF"/>
    <w:rsid w:val="4460983D"/>
    <w:rsid w:val="446EB944"/>
    <w:rsid w:val="44AF6C91"/>
    <w:rsid w:val="44C890AC"/>
    <w:rsid w:val="450E9DEF"/>
    <w:rsid w:val="4548810B"/>
    <w:rsid w:val="456D72FE"/>
    <w:rsid w:val="4599085A"/>
    <w:rsid w:val="45BB81EC"/>
    <w:rsid w:val="45E46477"/>
    <w:rsid w:val="460868E2"/>
    <w:rsid w:val="466FCA1C"/>
    <w:rsid w:val="46B3EF99"/>
    <w:rsid w:val="46DD1BA0"/>
    <w:rsid w:val="46E4516C"/>
    <w:rsid w:val="4734D8BB"/>
    <w:rsid w:val="473D9435"/>
    <w:rsid w:val="4745E0E5"/>
    <w:rsid w:val="47F78E59"/>
    <w:rsid w:val="480B84C1"/>
    <w:rsid w:val="481F8AAB"/>
    <w:rsid w:val="48DEFAB7"/>
    <w:rsid w:val="48EF4092"/>
    <w:rsid w:val="48F7B7F2"/>
    <w:rsid w:val="48FE1DA7"/>
    <w:rsid w:val="49165456"/>
    <w:rsid w:val="492C7DF2"/>
    <w:rsid w:val="494841D1"/>
    <w:rsid w:val="4976239C"/>
    <w:rsid w:val="497DB459"/>
    <w:rsid w:val="4982808A"/>
    <w:rsid w:val="49A1638F"/>
    <w:rsid w:val="49B36811"/>
    <w:rsid w:val="49DDCDA2"/>
    <w:rsid w:val="49E2C9CE"/>
    <w:rsid w:val="49F86A36"/>
    <w:rsid w:val="49FD1C22"/>
    <w:rsid w:val="4A4AEE95"/>
    <w:rsid w:val="4A57F103"/>
    <w:rsid w:val="4A78E688"/>
    <w:rsid w:val="4ABA6335"/>
    <w:rsid w:val="4ACFD9C1"/>
    <w:rsid w:val="4AE3D957"/>
    <w:rsid w:val="4AE8F18F"/>
    <w:rsid w:val="4B172E90"/>
    <w:rsid w:val="4B1B6091"/>
    <w:rsid w:val="4B23DD51"/>
    <w:rsid w:val="4BB7C28F"/>
    <w:rsid w:val="4BBDEDE3"/>
    <w:rsid w:val="4BD30A68"/>
    <w:rsid w:val="4C0074A0"/>
    <w:rsid w:val="4C2F58B4"/>
    <w:rsid w:val="4CEBF7B8"/>
    <w:rsid w:val="4CF8A298"/>
    <w:rsid w:val="4CFB10B2"/>
    <w:rsid w:val="4D14062E"/>
    <w:rsid w:val="4D321961"/>
    <w:rsid w:val="4D34BCE4"/>
    <w:rsid w:val="4D549F0B"/>
    <w:rsid w:val="4DB1F35D"/>
    <w:rsid w:val="4E01CBB2"/>
    <w:rsid w:val="4E077A83"/>
    <w:rsid w:val="4E4C0CB0"/>
    <w:rsid w:val="4E7D6703"/>
    <w:rsid w:val="4E89B959"/>
    <w:rsid w:val="4E910699"/>
    <w:rsid w:val="4ECDE9C2"/>
    <w:rsid w:val="4ED283C4"/>
    <w:rsid w:val="4EF58EA5"/>
    <w:rsid w:val="4F55D6F6"/>
    <w:rsid w:val="4F61951C"/>
    <w:rsid w:val="4F61E297"/>
    <w:rsid w:val="4FA34AE4"/>
    <w:rsid w:val="50E030A1"/>
    <w:rsid w:val="50F64FAF"/>
    <w:rsid w:val="5120BE7E"/>
    <w:rsid w:val="51625424"/>
    <w:rsid w:val="518B59D4"/>
    <w:rsid w:val="519A3E7E"/>
    <w:rsid w:val="51CC0F97"/>
    <w:rsid w:val="51CFB72A"/>
    <w:rsid w:val="51EE1BD9"/>
    <w:rsid w:val="51FBC6B8"/>
    <w:rsid w:val="522B0E89"/>
    <w:rsid w:val="52670B04"/>
    <w:rsid w:val="52778B62"/>
    <w:rsid w:val="52C2F16D"/>
    <w:rsid w:val="52D222C2"/>
    <w:rsid w:val="52F5546A"/>
    <w:rsid w:val="5332917E"/>
    <w:rsid w:val="5352FD14"/>
    <w:rsid w:val="53920B96"/>
    <w:rsid w:val="53B0C86F"/>
    <w:rsid w:val="53C8FFC8"/>
    <w:rsid w:val="53EB0C38"/>
    <w:rsid w:val="54710D36"/>
    <w:rsid w:val="54885AD5"/>
    <w:rsid w:val="54F8DC0D"/>
    <w:rsid w:val="550DCE38"/>
    <w:rsid w:val="5550D510"/>
    <w:rsid w:val="5567B5B8"/>
    <w:rsid w:val="5597D18F"/>
    <w:rsid w:val="55BD129D"/>
    <w:rsid w:val="55CA5D39"/>
    <w:rsid w:val="55F9AFAA"/>
    <w:rsid w:val="561A695F"/>
    <w:rsid w:val="570322C0"/>
    <w:rsid w:val="573F44E7"/>
    <w:rsid w:val="57869CF1"/>
    <w:rsid w:val="57A3F6EB"/>
    <w:rsid w:val="5817A226"/>
    <w:rsid w:val="581E6526"/>
    <w:rsid w:val="58282C72"/>
    <w:rsid w:val="589C70EB"/>
    <w:rsid w:val="58CBA436"/>
    <w:rsid w:val="58D34C05"/>
    <w:rsid w:val="58EEBA6C"/>
    <w:rsid w:val="5970E02D"/>
    <w:rsid w:val="597489A3"/>
    <w:rsid w:val="598C2806"/>
    <w:rsid w:val="59B0FCBF"/>
    <w:rsid w:val="59DBB79A"/>
    <w:rsid w:val="5A10D534"/>
    <w:rsid w:val="5A12A548"/>
    <w:rsid w:val="5A850EF4"/>
    <w:rsid w:val="5A9083C0"/>
    <w:rsid w:val="5B27F867"/>
    <w:rsid w:val="5B297C8F"/>
    <w:rsid w:val="5BBAE950"/>
    <w:rsid w:val="5BC09821"/>
    <w:rsid w:val="5BF7D2DB"/>
    <w:rsid w:val="5C3FE83D"/>
    <w:rsid w:val="5C58F7EE"/>
    <w:rsid w:val="5C746E9F"/>
    <w:rsid w:val="5C9C822A"/>
    <w:rsid w:val="5CA2D340"/>
    <w:rsid w:val="5CC0EC18"/>
    <w:rsid w:val="5CE7B79B"/>
    <w:rsid w:val="5CF449A4"/>
    <w:rsid w:val="5D177D17"/>
    <w:rsid w:val="5D239177"/>
    <w:rsid w:val="5D2F9678"/>
    <w:rsid w:val="5D65DAE2"/>
    <w:rsid w:val="5D8CEC19"/>
    <w:rsid w:val="5DC18F4B"/>
    <w:rsid w:val="5DC680E1"/>
    <w:rsid w:val="5DD07574"/>
    <w:rsid w:val="5DF1094F"/>
    <w:rsid w:val="5E258BD3"/>
    <w:rsid w:val="5E5F9929"/>
    <w:rsid w:val="5E6ABCA1"/>
    <w:rsid w:val="5EAE0878"/>
    <w:rsid w:val="5EC4FF16"/>
    <w:rsid w:val="5EFE96AF"/>
    <w:rsid w:val="5F0D74A1"/>
    <w:rsid w:val="5F1918CE"/>
    <w:rsid w:val="5F28F9E0"/>
    <w:rsid w:val="5F4F0221"/>
    <w:rsid w:val="5F848A77"/>
    <w:rsid w:val="5F8CD9B0"/>
    <w:rsid w:val="5FB4341B"/>
    <w:rsid w:val="5FFB698A"/>
    <w:rsid w:val="60D177C8"/>
    <w:rsid w:val="60FD03BC"/>
    <w:rsid w:val="615D1C06"/>
    <w:rsid w:val="615D2C95"/>
    <w:rsid w:val="61EAE324"/>
    <w:rsid w:val="61F12DBB"/>
    <w:rsid w:val="61F1B8C3"/>
    <w:rsid w:val="61F484AD"/>
    <w:rsid w:val="62959CB2"/>
    <w:rsid w:val="62B09F71"/>
    <w:rsid w:val="6369C840"/>
    <w:rsid w:val="63A72AD8"/>
    <w:rsid w:val="63CD8327"/>
    <w:rsid w:val="64316D13"/>
    <w:rsid w:val="6446BEC7"/>
    <w:rsid w:val="64752286"/>
    <w:rsid w:val="64992A3E"/>
    <w:rsid w:val="64D685D6"/>
    <w:rsid w:val="64DC825B"/>
    <w:rsid w:val="65A994A3"/>
    <w:rsid w:val="65CD3D74"/>
    <w:rsid w:val="65E218FC"/>
    <w:rsid w:val="66069793"/>
    <w:rsid w:val="661C6183"/>
    <w:rsid w:val="667F7C69"/>
    <w:rsid w:val="66B0EB4E"/>
    <w:rsid w:val="66C85513"/>
    <w:rsid w:val="66F153E9"/>
    <w:rsid w:val="6714C7AC"/>
    <w:rsid w:val="674A9F97"/>
    <w:rsid w:val="675AA92B"/>
    <w:rsid w:val="679A95AC"/>
    <w:rsid w:val="67BC355F"/>
    <w:rsid w:val="67C454A3"/>
    <w:rsid w:val="67D8368D"/>
    <w:rsid w:val="67FFF94E"/>
    <w:rsid w:val="683B86DC"/>
    <w:rsid w:val="684D930D"/>
    <w:rsid w:val="68C61DA3"/>
    <w:rsid w:val="690FE3C9"/>
    <w:rsid w:val="692E81A8"/>
    <w:rsid w:val="6935B206"/>
    <w:rsid w:val="695EF1ED"/>
    <w:rsid w:val="69682DEB"/>
    <w:rsid w:val="69A8F6F5"/>
    <w:rsid w:val="69DF78CC"/>
    <w:rsid w:val="69E571BF"/>
    <w:rsid w:val="69F7CC6A"/>
    <w:rsid w:val="6A353CB9"/>
    <w:rsid w:val="6A6BAC87"/>
    <w:rsid w:val="6A9E01DF"/>
    <w:rsid w:val="6AFEAAED"/>
    <w:rsid w:val="6AFF4C60"/>
    <w:rsid w:val="6B54FF2D"/>
    <w:rsid w:val="6B67F09C"/>
    <w:rsid w:val="6B814220"/>
    <w:rsid w:val="6BBF3258"/>
    <w:rsid w:val="6BD10D1A"/>
    <w:rsid w:val="6BF2F05F"/>
    <w:rsid w:val="6D74CB01"/>
    <w:rsid w:val="6D9E99A1"/>
    <w:rsid w:val="6DC9BB4B"/>
    <w:rsid w:val="6DCD7F9A"/>
    <w:rsid w:val="6F08ADDC"/>
    <w:rsid w:val="6F1F1F04"/>
    <w:rsid w:val="6F38B926"/>
    <w:rsid w:val="6F7D151B"/>
    <w:rsid w:val="6FEE8C99"/>
    <w:rsid w:val="6FFF565E"/>
    <w:rsid w:val="70032F7F"/>
    <w:rsid w:val="702F7235"/>
    <w:rsid w:val="703E7473"/>
    <w:rsid w:val="704EBA50"/>
    <w:rsid w:val="705E62CE"/>
    <w:rsid w:val="708960E2"/>
    <w:rsid w:val="709E9ED5"/>
    <w:rsid w:val="70D85980"/>
    <w:rsid w:val="7114938D"/>
    <w:rsid w:val="7195A042"/>
    <w:rsid w:val="719A0362"/>
    <w:rsid w:val="719B26BF"/>
    <w:rsid w:val="71A3DD16"/>
    <w:rsid w:val="71CB4296"/>
    <w:rsid w:val="71E00A3D"/>
    <w:rsid w:val="72309E47"/>
    <w:rsid w:val="72527E07"/>
    <w:rsid w:val="72A9541F"/>
    <w:rsid w:val="72B2C4B5"/>
    <w:rsid w:val="72BFCD18"/>
    <w:rsid w:val="72CC7A08"/>
    <w:rsid w:val="73363C1B"/>
    <w:rsid w:val="733FA35C"/>
    <w:rsid w:val="744944CB"/>
    <w:rsid w:val="74543658"/>
    <w:rsid w:val="7484BC9D"/>
    <w:rsid w:val="74C2C632"/>
    <w:rsid w:val="74D335D2"/>
    <w:rsid w:val="74FA7A8A"/>
    <w:rsid w:val="75B3312F"/>
    <w:rsid w:val="75D8FED0"/>
    <w:rsid w:val="7655C07C"/>
    <w:rsid w:val="778D16D8"/>
    <w:rsid w:val="779BC7B0"/>
    <w:rsid w:val="77BEE941"/>
    <w:rsid w:val="7863880A"/>
    <w:rsid w:val="789C74A4"/>
    <w:rsid w:val="78AEDE4A"/>
    <w:rsid w:val="78BA1E65"/>
    <w:rsid w:val="790BF619"/>
    <w:rsid w:val="790F0156"/>
    <w:rsid w:val="7912DBCB"/>
    <w:rsid w:val="793D7A0F"/>
    <w:rsid w:val="794C9309"/>
    <w:rsid w:val="797927B1"/>
    <w:rsid w:val="79863F3B"/>
    <w:rsid w:val="79963755"/>
    <w:rsid w:val="79D00460"/>
    <w:rsid w:val="79DB0BD2"/>
    <w:rsid w:val="79EF2AA5"/>
    <w:rsid w:val="79F056B5"/>
    <w:rsid w:val="79F59C96"/>
    <w:rsid w:val="7A140FB1"/>
    <w:rsid w:val="7A66E5C4"/>
    <w:rsid w:val="7A868668"/>
    <w:rsid w:val="7A894501"/>
    <w:rsid w:val="7AC0A917"/>
    <w:rsid w:val="7AF77851"/>
    <w:rsid w:val="7B6110EE"/>
    <w:rsid w:val="7B75B299"/>
    <w:rsid w:val="7BC51FDD"/>
    <w:rsid w:val="7C21C238"/>
    <w:rsid w:val="7C34C370"/>
    <w:rsid w:val="7C3824BE"/>
    <w:rsid w:val="7C694382"/>
    <w:rsid w:val="7CE4DCA8"/>
    <w:rsid w:val="7CEB5937"/>
    <w:rsid w:val="7D18069E"/>
    <w:rsid w:val="7D1D567C"/>
    <w:rsid w:val="7D32DAF0"/>
    <w:rsid w:val="7D68A59A"/>
    <w:rsid w:val="7D6BF3B0"/>
    <w:rsid w:val="7DA06979"/>
    <w:rsid w:val="7DA8363C"/>
    <w:rsid w:val="7DF11ADF"/>
    <w:rsid w:val="7E103DCF"/>
    <w:rsid w:val="7E54CBE9"/>
    <w:rsid w:val="7E570CDB"/>
    <w:rsid w:val="7E6AB6A5"/>
    <w:rsid w:val="7E8A4D26"/>
    <w:rsid w:val="7EC1DA90"/>
    <w:rsid w:val="7F1345A0"/>
    <w:rsid w:val="7F1B3B1A"/>
    <w:rsid w:val="7F809FCF"/>
    <w:rsid w:val="7FD38C1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0E05600E"/>
  <w15:chartTrackingRefBased/>
  <w15:docId w15:val="{3C76BEA4-D8B1-4AB0-9340-950054D8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5571E"/>
    <w:rPr>
      <w:color w:val="0563C1" w:themeColor="hyperlink"/>
      <w:u w:val="single"/>
    </w:rPr>
  </w:style>
  <w:style w:type="character" w:styleId="Mentionnonrsolue">
    <w:name w:val="Unresolved Mention"/>
    <w:basedOn w:val="Policepardfaut"/>
    <w:uiPriority w:val="99"/>
    <w:semiHidden/>
    <w:unhideWhenUsed/>
    <w:rsid w:val="00E5571E"/>
    <w:rPr>
      <w:color w:val="605E5C"/>
      <w:shd w:val="clear" w:color="auto" w:fill="E1DFDD"/>
    </w:rPr>
  </w:style>
  <w:style w:type="paragraph" w:styleId="Paragraphedeliste">
    <w:name w:val="List Paragraph"/>
    <w:basedOn w:val="Normal"/>
    <w:uiPriority w:val="34"/>
    <w:qFormat/>
    <w:rsid w:val="001D4CEF"/>
    <w:pPr>
      <w:ind w:left="720"/>
      <w:contextualSpacing/>
    </w:pPr>
  </w:style>
  <w:style w:type="character" w:styleId="Lienhypertextesuivivisit">
    <w:name w:val="FollowedHyperlink"/>
    <w:basedOn w:val="Policepardfaut"/>
    <w:uiPriority w:val="99"/>
    <w:semiHidden/>
    <w:unhideWhenUsed/>
    <w:rsid w:val="001240C4"/>
    <w:rPr>
      <w:color w:val="954F72" w:themeColor="followedHyperlink"/>
      <w:u w:val="single"/>
    </w:rPr>
  </w:style>
  <w:style w:type="paragraph" w:styleId="Rvision">
    <w:name w:val="Revision"/>
    <w:hidden/>
    <w:uiPriority w:val="99"/>
    <w:semiHidden/>
    <w:rsid w:val="00215A7C"/>
    <w:pPr>
      <w:spacing w:after="0" w:line="240" w:lineRule="auto"/>
    </w:pPr>
  </w:style>
  <w:style w:type="character" w:styleId="Marquedecommentaire">
    <w:name w:val="annotation reference"/>
    <w:basedOn w:val="Policepardfaut"/>
    <w:uiPriority w:val="99"/>
    <w:semiHidden/>
    <w:unhideWhenUsed/>
    <w:rsid w:val="00A63A1A"/>
    <w:rPr>
      <w:sz w:val="16"/>
      <w:szCs w:val="16"/>
    </w:rPr>
  </w:style>
  <w:style w:type="paragraph" w:styleId="Commentaire">
    <w:name w:val="annotation text"/>
    <w:basedOn w:val="Normal"/>
    <w:link w:val="CommentaireCar"/>
    <w:uiPriority w:val="99"/>
    <w:unhideWhenUsed/>
    <w:rsid w:val="00A63A1A"/>
    <w:pPr>
      <w:spacing w:line="240" w:lineRule="auto"/>
    </w:pPr>
    <w:rPr>
      <w:sz w:val="20"/>
      <w:szCs w:val="20"/>
    </w:rPr>
  </w:style>
  <w:style w:type="character" w:customStyle="1" w:styleId="CommentaireCar">
    <w:name w:val="Commentaire Car"/>
    <w:basedOn w:val="Policepardfaut"/>
    <w:link w:val="Commentaire"/>
    <w:uiPriority w:val="99"/>
    <w:rsid w:val="00A63A1A"/>
    <w:rPr>
      <w:sz w:val="20"/>
      <w:szCs w:val="20"/>
    </w:rPr>
  </w:style>
  <w:style w:type="paragraph" w:styleId="Objetducommentaire">
    <w:name w:val="annotation subject"/>
    <w:basedOn w:val="Commentaire"/>
    <w:next w:val="Commentaire"/>
    <w:link w:val="ObjetducommentaireCar"/>
    <w:uiPriority w:val="99"/>
    <w:semiHidden/>
    <w:unhideWhenUsed/>
    <w:rsid w:val="00A63A1A"/>
    <w:rPr>
      <w:b/>
      <w:bCs/>
    </w:rPr>
  </w:style>
  <w:style w:type="character" w:customStyle="1" w:styleId="ObjetducommentaireCar">
    <w:name w:val="Objet du commentaire Car"/>
    <w:basedOn w:val="CommentaireCar"/>
    <w:link w:val="Objetducommentaire"/>
    <w:uiPriority w:val="99"/>
    <w:semiHidden/>
    <w:rsid w:val="00A63A1A"/>
    <w:rPr>
      <w:b/>
      <w:bCs/>
      <w:sz w:val="20"/>
      <w:szCs w:val="20"/>
    </w:rPr>
  </w:style>
  <w:style w:type="character" w:styleId="Mention">
    <w:name w:val="Mention"/>
    <w:basedOn w:val="Policepardfaut"/>
    <w:uiPriority w:val="99"/>
    <w:unhideWhenUsed/>
    <w:rPr>
      <w:color w:val="2B579A"/>
      <w:shd w:val="clear" w:color="auto" w:fill="E6E6E6"/>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348513">
      <w:bodyDiv w:val="1"/>
      <w:marLeft w:val="0"/>
      <w:marRight w:val="0"/>
      <w:marTop w:val="0"/>
      <w:marBottom w:val="0"/>
      <w:divBdr>
        <w:top w:val="none" w:sz="0" w:space="0" w:color="auto"/>
        <w:left w:val="none" w:sz="0" w:space="0" w:color="auto"/>
        <w:bottom w:val="none" w:sz="0" w:space="0" w:color="auto"/>
        <w:right w:val="none" w:sz="0" w:space="0" w:color="auto"/>
      </w:divBdr>
    </w:div>
    <w:div w:id="1626808912">
      <w:bodyDiv w:val="1"/>
      <w:marLeft w:val="0"/>
      <w:marRight w:val="0"/>
      <w:marTop w:val="0"/>
      <w:marBottom w:val="0"/>
      <w:divBdr>
        <w:top w:val="none" w:sz="0" w:space="0" w:color="auto"/>
        <w:left w:val="none" w:sz="0" w:space="0" w:color="auto"/>
        <w:bottom w:val="none" w:sz="0" w:space="0" w:color="auto"/>
        <w:right w:val="none" w:sz="0" w:space="0" w:color="auto"/>
      </w:divBdr>
    </w:div>
    <w:div w:id="2138253958">
      <w:bodyDiv w:val="1"/>
      <w:marLeft w:val="0"/>
      <w:marRight w:val="0"/>
      <w:marTop w:val="0"/>
      <w:marBottom w:val="0"/>
      <w:divBdr>
        <w:top w:val="none" w:sz="0" w:space="0" w:color="auto"/>
        <w:left w:val="none" w:sz="0" w:space="0" w:color="auto"/>
        <w:bottom w:val="none" w:sz="0" w:space="0" w:color="auto"/>
        <w:right w:val="none" w:sz="0" w:space="0" w:color="auto"/>
      </w:divBdr>
      <w:divsChild>
        <w:div w:id="1413045534">
          <w:marLeft w:val="0"/>
          <w:marRight w:val="0"/>
          <w:marTop w:val="0"/>
          <w:marBottom w:val="0"/>
          <w:divBdr>
            <w:top w:val="none" w:sz="0" w:space="0" w:color="auto"/>
            <w:left w:val="none" w:sz="0" w:space="0" w:color="auto"/>
            <w:bottom w:val="none" w:sz="0" w:space="0" w:color="auto"/>
            <w:right w:val="none" w:sz="0" w:space="0" w:color="auto"/>
          </w:divBdr>
        </w:div>
        <w:div w:id="1778990012">
          <w:marLeft w:val="0"/>
          <w:marRight w:val="0"/>
          <w:marTop w:val="0"/>
          <w:marBottom w:val="0"/>
          <w:divBdr>
            <w:top w:val="single" w:sz="6" w:space="0" w:color="DCDCDC"/>
            <w:left w:val="single" w:sz="6" w:space="0" w:color="DCDCDC"/>
            <w:bottom w:val="single" w:sz="6" w:space="0" w:color="DCDCDC"/>
            <w:right w:val="single" w:sz="6" w:space="0" w:color="DCDCDC"/>
          </w:divBdr>
          <w:divsChild>
            <w:div w:id="1020471722">
              <w:marLeft w:val="0"/>
              <w:marRight w:val="0"/>
              <w:marTop w:val="0"/>
              <w:marBottom w:val="0"/>
              <w:divBdr>
                <w:top w:val="none" w:sz="0" w:space="0" w:color="auto"/>
                <w:left w:val="none" w:sz="0" w:space="0" w:color="auto"/>
                <w:bottom w:val="none" w:sz="0" w:space="0" w:color="auto"/>
                <w:right w:val="none" w:sz="0" w:space="0" w:color="auto"/>
              </w:divBdr>
            </w:div>
          </w:divsChild>
        </w:div>
        <w:div w:id="1492208852">
          <w:marLeft w:val="0"/>
          <w:marRight w:val="0"/>
          <w:marTop w:val="0"/>
          <w:marBottom w:val="0"/>
          <w:divBdr>
            <w:top w:val="single" w:sz="6" w:space="0" w:color="DCDCDC"/>
            <w:left w:val="single" w:sz="6" w:space="0" w:color="DCDCDC"/>
            <w:bottom w:val="single" w:sz="6" w:space="0" w:color="DCDCDC"/>
            <w:right w:val="single" w:sz="6" w:space="0" w:color="DCDCDC"/>
          </w:divBdr>
          <w:divsChild>
            <w:div w:id="708381959">
              <w:marLeft w:val="0"/>
              <w:marRight w:val="0"/>
              <w:marTop w:val="0"/>
              <w:marBottom w:val="0"/>
              <w:divBdr>
                <w:top w:val="none" w:sz="0" w:space="0" w:color="auto"/>
                <w:left w:val="none" w:sz="0" w:space="0" w:color="auto"/>
                <w:bottom w:val="none" w:sz="0" w:space="0" w:color="auto"/>
                <w:right w:val="none" w:sz="0" w:space="0" w:color="auto"/>
              </w:divBdr>
            </w:div>
          </w:divsChild>
        </w:div>
        <w:div w:id="490409355">
          <w:marLeft w:val="0"/>
          <w:marRight w:val="0"/>
          <w:marTop w:val="0"/>
          <w:marBottom w:val="0"/>
          <w:divBdr>
            <w:top w:val="single" w:sz="6" w:space="0" w:color="DCDCDC"/>
            <w:left w:val="single" w:sz="6" w:space="0" w:color="DCDCDC"/>
            <w:bottom w:val="single" w:sz="6" w:space="0" w:color="DCDCDC"/>
            <w:right w:val="single" w:sz="6" w:space="0" w:color="DCDCDC"/>
          </w:divBdr>
          <w:divsChild>
            <w:div w:id="1883710123">
              <w:marLeft w:val="0"/>
              <w:marRight w:val="0"/>
              <w:marTop w:val="0"/>
              <w:marBottom w:val="0"/>
              <w:divBdr>
                <w:top w:val="none" w:sz="0" w:space="0" w:color="auto"/>
                <w:left w:val="none" w:sz="0" w:space="0" w:color="auto"/>
                <w:bottom w:val="none" w:sz="0" w:space="0" w:color="auto"/>
                <w:right w:val="none" w:sz="0" w:space="0" w:color="auto"/>
              </w:divBdr>
            </w:div>
          </w:divsChild>
        </w:div>
        <w:div w:id="1703555651">
          <w:marLeft w:val="0"/>
          <w:marRight w:val="0"/>
          <w:marTop w:val="0"/>
          <w:marBottom w:val="0"/>
          <w:divBdr>
            <w:top w:val="single" w:sz="6" w:space="0" w:color="DCDCDC"/>
            <w:left w:val="single" w:sz="6" w:space="0" w:color="DCDCDC"/>
            <w:bottom w:val="single" w:sz="6" w:space="0" w:color="DCDCDC"/>
            <w:right w:val="single" w:sz="6" w:space="0" w:color="DCDCDC"/>
          </w:divBdr>
          <w:divsChild>
            <w:div w:id="1163398347">
              <w:marLeft w:val="0"/>
              <w:marRight w:val="0"/>
              <w:marTop w:val="0"/>
              <w:marBottom w:val="0"/>
              <w:divBdr>
                <w:top w:val="none" w:sz="0" w:space="0" w:color="auto"/>
                <w:left w:val="none" w:sz="0" w:space="0" w:color="auto"/>
                <w:bottom w:val="none" w:sz="0" w:space="0" w:color="auto"/>
                <w:right w:val="none" w:sz="0" w:space="0" w:color="auto"/>
              </w:divBdr>
            </w:div>
          </w:divsChild>
        </w:div>
        <w:div w:id="1410498128">
          <w:marLeft w:val="0"/>
          <w:marRight w:val="0"/>
          <w:marTop w:val="0"/>
          <w:marBottom w:val="0"/>
          <w:divBdr>
            <w:top w:val="none" w:sz="0" w:space="0" w:color="auto"/>
            <w:left w:val="none" w:sz="0" w:space="0" w:color="auto"/>
            <w:bottom w:val="none" w:sz="0" w:space="0" w:color="auto"/>
            <w:right w:val="none" w:sz="0" w:space="0" w:color="auto"/>
          </w:divBdr>
          <w:divsChild>
            <w:div w:id="1312636660">
              <w:marLeft w:val="0"/>
              <w:marRight w:val="0"/>
              <w:marTop w:val="0"/>
              <w:marBottom w:val="0"/>
              <w:divBdr>
                <w:top w:val="none" w:sz="0" w:space="0" w:color="auto"/>
                <w:left w:val="none" w:sz="0" w:space="0" w:color="auto"/>
                <w:bottom w:val="none" w:sz="0" w:space="0" w:color="auto"/>
                <w:right w:val="none" w:sz="0" w:space="0" w:color="auto"/>
              </w:divBdr>
            </w:div>
          </w:divsChild>
        </w:div>
        <w:div w:id="808867477">
          <w:marLeft w:val="0"/>
          <w:marRight w:val="0"/>
          <w:marTop w:val="0"/>
          <w:marBottom w:val="0"/>
          <w:divBdr>
            <w:top w:val="single" w:sz="6" w:space="0" w:color="DCDCDC"/>
            <w:left w:val="single" w:sz="6" w:space="0" w:color="DCDCDC"/>
            <w:bottom w:val="single" w:sz="6" w:space="0" w:color="DCDCDC"/>
            <w:right w:val="single" w:sz="6" w:space="0" w:color="DCDCDC"/>
          </w:divBdr>
          <w:divsChild>
            <w:div w:id="411051492">
              <w:marLeft w:val="0"/>
              <w:marRight w:val="0"/>
              <w:marTop w:val="0"/>
              <w:marBottom w:val="0"/>
              <w:divBdr>
                <w:top w:val="none" w:sz="0" w:space="0" w:color="auto"/>
                <w:left w:val="none" w:sz="0" w:space="0" w:color="auto"/>
                <w:bottom w:val="none" w:sz="0" w:space="0" w:color="auto"/>
                <w:right w:val="none" w:sz="0" w:space="0" w:color="auto"/>
              </w:divBdr>
            </w:div>
          </w:divsChild>
        </w:div>
        <w:div w:id="1707098874">
          <w:marLeft w:val="0"/>
          <w:marRight w:val="0"/>
          <w:marTop w:val="0"/>
          <w:marBottom w:val="0"/>
          <w:divBdr>
            <w:top w:val="none" w:sz="0" w:space="0" w:color="auto"/>
            <w:left w:val="none" w:sz="0" w:space="0" w:color="auto"/>
            <w:bottom w:val="none" w:sz="0" w:space="0" w:color="auto"/>
            <w:right w:val="none" w:sz="0" w:space="0" w:color="auto"/>
          </w:divBdr>
          <w:divsChild>
            <w:div w:id="1075013967">
              <w:marLeft w:val="0"/>
              <w:marRight w:val="0"/>
              <w:marTop w:val="0"/>
              <w:marBottom w:val="0"/>
              <w:divBdr>
                <w:top w:val="none" w:sz="0" w:space="0" w:color="auto"/>
                <w:left w:val="none" w:sz="0" w:space="0" w:color="auto"/>
                <w:bottom w:val="none" w:sz="0" w:space="0" w:color="auto"/>
                <w:right w:val="none" w:sz="0" w:space="0" w:color="auto"/>
              </w:divBdr>
            </w:div>
          </w:divsChild>
        </w:div>
        <w:div w:id="940139046">
          <w:marLeft w:val="0"/>
          <w:marRight w:val="0"/>
          <w:marTop w:val="0"/>
          <w:marBottom w:val="0"/>
          <w:divBdr>
            <w:top w:val="single" w:sz="6" w:space="0" w:color="DCDCDC"/>
            <w:left w:val="single" w:sz="6" w:space="0" w:color="DCDCDC"/>
            <w:bottom w:val="single" w:sz="6" w:space="0" w:color="DCDCDC"/>
            <w:right w:val="single" w:sz="6" w:space="0" w:color="DCDCDC"/>
          </w:divBdr>
          <w:divsChild>
            <w:div w:id="2120903522">
              <w:marLeft w:val="0"/>
              <w:marRight w:val="0"/>
              <w:marTop w:val="0"/>
              <w:marBottom w:val="0"/>
              <w:divBdr>
                <w:top w:val="none" w:sz="0" w:space="0" w:color="auto"/>
                <w:left w:val="none" w:sz="0" w:space="0" w:color="auto"/>
                <w:bottom w:val="none" w:sz="0" w:space="0" w:color="auto"/>
                <w:right w:val="none" w:sz="0" w:space="0" w:color="auto"/>
              </w:divBdr>
            </w:div>
          </w:divsChild>
        </w:div>
        <w:div w:id="1514538155">
          <w:marLeft w:val="0"/>
          <w:marRight w:val="0"/>
          <w:marTop w:val="0"/>
          <w:marBottom w:val="0"/>
          <w:divBdr>
            <w:top w:val="single" w:sz="6" w:space="0" w:color="DCDCDC"/>
            <w:left w:val="single" w:sz="6" w:space="0" w:color="DCDCDC"/>
            <w:bottom w:val="single" w:sz="6" w:space="0" w:color="DCDCDC"/>
            <w:right w:val="single" w:sz="6" w:space="0" w:color="DCDCDC"/>
          </w:divBdr>
          <w:divsChild>
            <w:div w:id="589583588">
              <w:marLeft w:val="0"/>
              <w:marRight w:val="0"/>
              <w:marTop w:val="0"/>
              <w:marBottom w:val="0"/>
              <w:divBdr>
                <w:top w:val="none" w:sz="0" w:space="0" w:color="auto"/>
                <w:left w:val="none" w:sz="0" w:space="0" w:color="auto"/>
                <w:bottom w:val="none" w:sz="0" w:space="0" w:color="auto"/>
                <w:right w:val="none" w:sz="0" w:space="0" w:color="auto"/>
              </w:divBdr>
            </w:div>
          </w:divsChild>
        </w:div>
        <w:div w:id="2111773095">
          <w:marLeft w:val="0"/>
          <w:marRight w:val="0"/>
          <w:marTop w:val="0"/>
          <w:marBottom w:val="0"/>
          <w:divBdr>
            <w:top w:val="single" w:sz="6" w:space="0" w:color="DCDCDC"/>
            <w:left w:val="single" w:sz="6" w:space="0" w:color="DCDCDC"/>
            <w:bottom w:val="single" w:sz="6" w:space="0" w:color="DCDCDC"/>
            <w:right w:val="single" w:sz="6" w:space="0" w:color="DCDCDC"/>
          </w:divBdr>
          <w:divsChild>
            <w:div w:id="545334988">
              <w:marLeft w:val="0"/>
              <w:marRight w:val="0"/>
              <w:marTop w:val="0"/>
              <w:marBottom w:val="0"/>
              <w:divBdr>
                <w:top w:val="none" w:sz="0" w:space="0" w:color="auto"/>
                <w:left w:val="none" w:sz="0" w:space="0" w:color="auto"/>
                <w:bottom w:val="none" w:sz="0" w:space="0" w:color="auto"/>
                <w:right w:val="none" w:sz="0" w:space="0" w:color="auto"/>
              </w:divBdr>
            </w:div>
          </w:divsChild>
        </w:div>
        <w:div w:id="815880008">
          <w:marLeft w:val="0"/>
          <w:marRight w:val="0"/>
          <w:marTop w:val="0"/>
          <w:marBottom w:val="0"/>
          <w:divBdr>
            <w:top w:val="single" w:sz="6" w:space="0" w:color="DCDCDC"/>
            <w:left w:val="single" w:sz="6" w:space="0" w:color="DCDCDC"/>
            <w:bottom w:val="single" w:sz="6" w:space="0" w:color="DCDCDC"/>
            <w:right w:val="single" w:sz="6" w:space="0" w:color="DCDCDC"/>
          </w:divBdr>
          <w:divsChild>
            <w:div w:id="905729054">
              <w:marLeft w:val="0"/>
              <w:marRight w:val="0"/>
              <w:marTop w:val="0"/>
              <w:marBottom w:val="0"/>
              <w:divBdr>
                <w:top w:val="none" w:sz="0" w:space="0" w:color="auto"/>
                <w:left w:val="none" w:sz="0" w:space="0" w:color="auto"/>
                <w:bottom w:val="none" w:sz="0" w:space="0" w:color="auto"/>
                <w:right w:val="none" w:sz="0" w:space="0" w:color="auto"/>
              </w:divBdr>
            </w:div>
          </w:divsChild>
        </w:div>
        <w:div w:id="793063049">
          <w:marLeft w:val="0"/>
          <w:marRight w:val="0"/>
          <w:marTop w:val="0"/>
          <w:marBottom w:val="0"/>
          <w:divBdr>
            <w:top w:val="single" w:sz="6" w:space="0" w:color="DCDCDC"/>
            <w:left w:val="single" w:sz="6" w:space="0" w:color="DCDCDC"/>
            <w:bottom w:val="single" w:sz="6" w:space="0" w:color="DCDCDC"/>
            <w:right w:val="single" w:sz="6" w:space="0" w:color="DCDCDC"/>
          </w:divBdr>
          <w:divsChild>
            <w:div w:id="283579428">
              <w:marLeft w:val="0"/>
              <w:marRight w:val="0"/>
              <w:marTop w:val="0"/>
              <w:marBottom w:val="0"/>
              <w:divBdr>
                <w:top w:val="none" w:sz="0" w:space="0" w:color="auto"/>
                <w:left w:val="none" w:sz="0" w:space="0" w:color="auto"/>
                <w:bottom w:val="none" w:sz="0" w:space="0" w:color="auto"/>
                <w:right w:val="none" w:sz="0" w:space="0" w:color="auto"/>
              </w:divBdr>
            </w:div>
          </w:divsChild>
        </w:div>
        <w:div w:id="1176574593">
          <w:marLeft w:val="0"/>
          <w:marRight w:val="0"/>
          <w:marTop w:val="0"/>
          <w:marBottom w:val="0"/>
          <w:divBdr>
            <w:top w:val="single" w:sz="6" w:space="0" w:color="DCDCDC"/>
            <w:left w:val="single" w:sz="6" w:space="0" w:color="DCDCDC"/>
            <w:bottom w:val="single" w:sz="6" w:space="0" w:color="DCDCDC"/>
            <w:right w:val="single" w:sz="6" w:space="0" w:color="DCDCDC"/>
          </w:divBdr>
          <w:divsChild>
            <w:div w:id="1209804187">
              <w:marLeft w:val="0"/>
              <w:marRight w:val="0"/>
              <w:marTop w:val="0"/>
              <w:marBottom w:val="0"/>
              <w:divBdr>
                <w:top w:val="none" w:sz="0" w:space="0" w:color="auto"/>
                <w:left w:val="none" w:sz="0" w:space="0" w:color="auto"/>
                <w:bottom w:val="none" w:sz="0" w:space="0" w:color="auto"/>
                <w:right w:val="none" w:sz="0" w:space="0" w:color="auto"/>
              </w:divBdr>
            </w:div>
          </w:divsChild>
        </w:div>
        <w:div w:id="885292830">
          <w:marLeft w:val="0"/>
          <w:marRight w:val="0"/>
          <w:marTop w:val="0"/>
          <w:marBottom w:val="0"/>
          <w:divBdr>
            <w:top w:val="none" w:sz="0" w:space="0" w:color="auto"/>
            <w:left w:val="none" w:sz="0" w:space="0" w:color="auto"/>
            <w:bottom w:val="none" w:sz="0" w:space="0" w:color="auto"/>
            <w:right w:val="none" w:sz="0" w:space="0" w:color="auto"/>
          </w:divBdr>
          <w:divsChild>
            <w:div w:id="298337940">
              <w:marLeft w:val="0"/>
              <w:marRight w:val="0"/>
              <w:marTop w:val="0"/>
              <w:marBottom w:val="0"/>
              <w:divBdr>
                <w:top w:val="none" w:sz="0" w:space="0" w:color="auto"/>
                <w:left w:val="none" w:sz="0" w:space="0" w:color="auto"/>
                <w:bottom w:val="none" w:sz="0" w:space="0" w:color="auto"/>
                <w:right w:val="none" w:sz="0" w:space="0" w:color="auto"/>
              </w:divBdr>
            </w:div>
          </w:divsChild>
        </w:div>
        <w:div w:id="1821651402">
          <w:marLeft w:val="0"/>
          <w:marRight w:val="0"/>
          <w:marTop w:val="0"/>
          <w:marBottom w:val="0"/>
          <w:divBdr>
            <w:top w:val="single" w:sz="6" w:space="0" w:color="DCDCDC"/>
            <w:left w:val="single" w:sz="6" w:space="0" w:color="DCDCDC"/>
            <w:bottom w:val="single" w:sz="6" w:space="0" w:color="DCDCDC"/>
            <w:right w:val="single" w:sz="6" w:space="0" w:color="DCDCDC"/>
          </w:divBdr>
          <w:divsChild>
            <w:div w:id="1586302833">
              <w:marLeft w:val="0"/>
              <w:marRight w:val="0"/>
              <w:marTop w:val="0"/>
              <w:marBottom w:val="0"/>
              <w:divBdr>
                <w:top w:val="none" w:sz="0" w:space="0" w:color="auto"/>
                <w:left w:val="none" w:sz="0" w:space="0" w:color="auto"/>
                <w:bottom w:val="none" w:sz="0" w:space="0" w:color="auto"/>
                <w:right w:val="none" w:sz="0" w:space="0" w:color="auto"/>
              </w:divBdr>
            </w:div>
          </w:divsChild>
        </w:div>
        <w:div w:id="554390378">
          <w:marLeft w:val="0"/>
          <w:marRight w:val="0"/>
          <w:marTop w:val="0"/>
          <w:marBottom w:val="0"/>
          <w:divBdr>
            <w:top w:val="single" w:sz="6" w:space="0" w:color="DCDCDC"/>
            <w:left w:val="single" w:sz="6" w:space="0" w:color="DCDCDC"/>
            <w:bottom w:val="single" w:sz="6" w:space="0" w:color="DCDCDC"/>
            <w:right w:val="single" w:sz="6" w:space="0" w:color="DCDCDC"/>
          </w:divBdr>
          <w:divsChild>
            <w:div w:id="552891291">
              <w:marLeft w:val="0"/>
              <w:marRight w:val="0"/>
              <w:marTop w:val="0"/>
              <w:marBottom w:val="0"/>
              <w:divBdr>
                <w:top w:val="none" w:sz="0" w:space="0" w:color="auto"/>
                <w:left w:val="none" w:sz="0" w:space="0" w:color="auto"/>
                <w:bottom w:val="none" w:sz="0" w:space="0" w:color="auto"/>
                <w:right w:val="none" w:sz="0" w:space="0" w:color="auto"/>
              </w:divBdr>
            </w:div>
          </w:divsChild>
        </w:div>
        <w:div w:id="294023153">
          <w:marLeft w:val="0"/>
          <w:marRight w:val="0"/>
          <w:marTop w:val="0"/>
          <w:marBottom w:val="0"/>
          <w:divBdr>
            <w:top w:val="none" w:sz="0" w:space="0" w:color="auto"/>
            <w:left w:val="none" w:sz="0" w:space="0" w:color="auto"/>
            <w:bottom w:val="none" w:sz="0" w:space="0" w:color="auto"/>
            <w:right w:val="none" w:sz="0" w:space="0" w:color="auto"/>
          </w:divBdr>
          <w:divsChild>
            <w:div w:id="575095450">
              <w:marLeft w:val="0"/>
              <w:marRight w:val="0"/>
              <w:marTop w:val="0"/>
              <w:marBottom w:val="0"/>
              <w:divBdr>
                <w:top w:val="none" w:sz="0" w:space="0" w:color="auto"/>
                <w:left w:val="none" w:sz="0" w:space="0" w:color="auto"/>
                <w:bottom w:val="none" w:sz="0" w:space="0" w:color="auto"/>
                <w:right w:val="none" w:sz="0" w:space="0" w:color="auto"/>
              </w:divBdr>
            </w:div>
          </w:divsChild>
        </w:div>
        <w:div w:id="992098672">
          <w:marLeft w:val="0"/>
          <w:marRight w:val="0"/>
          <w:marTop w:val="0"/>
          <w:marBottom w:val="0"/>
          <w:divBdr>
            <w:top w:val="single" w:sz="6" w:space="0" w:color="DCDCDC"/>
            <w:left w:val="single" w:sz="6" w:space="0" w:color="DCDCDC"/>
            <w:bottom w:val="single" w:sz="6" w:space="0" w:color="DCDCDC"/>
            <w:right w:val="single" w:sz="6" w:space="0" w:color="DCDCDC"/>
          </w:divBdr>
          <w:divsChild>
            <w:div w:id="612637279">
              <w:marLeft w:val="0"/>
              <w:marRight w:val="0"/>
              <w:marTop w:val="0"/>
              <w:marBottom w:val="0"/>
              <w:divBdr>
                <w:top w:val="none" w:sz="0" w:space="0" w:color="auto"/>
                <w:left w:val="none" w:sz="0" w:space="0" w:color="auto"/>
                <w:bottom w:val="none" w:sz="0" w:space="0" w:color="auto"/>
                <w:right w:val="none" w:sz="0" w:space="0" w:color="auto"/>
              </w:divBdr>
            </w:div>
          </w:divsChild>
        </w:div>
        <w:div w:id="1596353896">
          <w:marLeft w:val="0"/>
          <w:marRight w:val="0"/>
          <w:marTop w:val="0"/>
          <w:marBottom w:val="0"/>
          <w:divBdr>
            <w:top w:val="none" w:sz="0" w:space="0" w:color="auto"/>
            <w:left w:val="none" w:sz="0" w:space="0" w:color="auto"/>
            <w:bottom w:val="none" w:sz="0" w:space="0" w:color="auto"/>
            <w:right w:val="none" w:sz="0" w:space="0" w:color="auto"/>
          </w:divBdr>
          <w:divsChild>
            <w:div w:id="13843508">
              <w:marLeft w:val="0"/>
              <w:marRight w:val="0"/>
              <w:marTop w:val="0"/>
              <w:marBottom w:val="0"/>
              <w:divBdr>
                <w:top w:val="none" w:sz="0" w:space="0" w:color="auto"/>
                <w:left w:val="none" w:sz="0" w:space="0" w:color="auto"/>
                <w:bottom w:val="none" w:sz="0" w:space="0" w:color="auto"/>
                <w:right w:val="none" w:sz="0" w:space="0" w:color="auto"/>
              </w:divBdr>
            </w:div>
          </w:divsChild>
        </w:div>
        <w:div w:id="211885922">
          <w:marLeft w:val="0"/>
          <w:marRight w:val="0"/>
          <w:marTop w:val="0"/>
          <w:marBottom w:val="0"/>
          <w:divBdr>
            <w:top w:val="single" w:sz="6" w:space="0" w:color="DCDCDC"/>
            <w:left w:val="single" w:sz="6" w:space="0" w:color="DCDCDC"/>
            <w:bottom w:val="single" w:sz="6" w:space="0" w:color="DCDCDC"/>
            <w:right w:val="single" w:sz="6" w:space="0" w:color="DCDCDC"/>
          </w:divBdr>
          <w:divsChild>
            <w:div w:id="12437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ceaninnovationchallenge.org/ocean-innovators" TargetMode="External"/><Relationship Id="rId18" Type="http://schemas.openxmlformats.org/officeDocument/2006/relationships/hyperlink" Target="https://intranet.undp.org/unit/rba/mst/trac2/_layouts/15/FormServer.aspx?XsnLocation=https://intranet.undp.org/unit/rba/mst/trac2/Submission%20Forms/Forms/template.xsn&amp;SaveLocation=https%3A%2F%2Fintranet%2Eundp%2Eorg%2Funit%2Frba%2Fmst%2Ftrac2%2FSubmission%20Forms" TargetMode="External"/><Relationship Id="rId26" Type="http://schemas.openxmlformats.org/officeDocument/2006/relationships/control" Target="activeX/activeX4.xml"/><Relationship Id="rId39" Type="http://schemas.openxmlformats.org/officeDocument/2006/relationships/control" Target="activeX/activeX10.xml"/><Relationship Id="rId21" Type="http://schemas.openxmlformats.org/officeDocument/2006/relationships/image" Target="media/image4.wmf"/><Relationship Id="rId34" Type="http://schemas.openxmlformats.org/officeDocument/2006/relationships/image" Target="media/image10.wmf"/><Relationship Id="rId42" Type="http://schemas.openxmlformats.org/officeDocument/2006/relationships/hyperlink" Target="https://intranet.undp.org/unit/rba/mst/trac2/_layouts/15/FormServer.aspx?XsnLocation=https://intranet.undp.org/unit/rba/mst/trac2/Submission%20Forms/Forms/template.xsn&amp;SaveLocation=https%3A%2F%2Fintranet%2Eundp%2Eorg%2Funit%2Frba%2Fmst%2Ftrac2%2FSubmission%20Forms" TargetMode="External"/><Relationship Id="rId47" Type="http://schemas.openxmlformats.org/officeDocument/2006/relationships/image" Target="media/image16.wmf"/><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8.wmf"/><Relationship Id="rId11" Type="http://schemas.openxmlformats.org/officeDocument/2006/relationships/control" Target="activeX/activeX1.xml"/><Relationship Id="rId24" Type="http://schemas.openxmlformats.org/officeDocument/2006/relationships/control" Target="activeX/activeX3.xml"/><Relationship Id="rId32" Type="http://schemas.openxmlformats.org/officeDocument/2006/relationships/image" Target="media/image9.wmf"/><Relationship Id="rId37" Type="http://schemas.openxmlformats.org/officeDocument/2006/relationships/control" Target="activeX/activeX9.xml"/><Relationship Id="rId40" Type="http://schemas.openxmlformats.org/officeDocument/2006/relationships/image" Target="media/image13.wmf"/><Relationship Id="rId45" Type="http://schemas.openxmlformats.org/officeDocument/2006/relationships/image" Target="media/image15.wmf"/><Relationship Id="rId5" Type="http://schemas.openxmlformats.org/officeDocument/2006/relationships/numbering" Target="numbering.xml"/><Relationship Id="rId15" Type="http://schemas.openxmlformats.org/officeDocument/2006/relationships/hyperlink" Target="https://oceaninnovationchallenge.org/ocean-innovators" TargetMode="External"/><Relationship Id="rId23" Type="http://schemas.openxmlformats.org/officeDocument/2006/relationships/image" Target="media/image5.wmf"/><Relationship Id="rId28" Type="http://schemas.openxmlformats.org/officeDocument/2006/relationships/control" Target="activeX/activeX5.xml"/><Relationship Id="rId36" Type="http://schemas.openxmlformats.org/officeDocument/2006/relationships/image" Target="media/image11.wmf"/><Relationship Id="rId49"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yperlink" Target="https://intranet.undp.org/unit/rba/mst/trac2/_layouts/15/FormServer.aspx?XsnLocation=https://intranet.undp.org/unit/rba/mst/trac2/Submission%20Forms/Forms/template.xsn&amp;SaveLocation=https%3A%2F%2Fintranet%2Eundp%2Eorg%2Funit%2Frba%2Fmst%2Ftrac2%2FSubmission%20Forms" TargetMode="External"/><Relationship Id="rId31" Type="http://schemas.openxmlformats.org/officeDocument/2006/relationships/hyperlink" Target="https://intranet.undp.org/unit/rba/mst/trac2/_layouts/15/FormServer.aspx?XsnLocation=https://intranet.undp.org/unit/rba/mst/trac2/Submission%20Forms/Forms/template.xsn&amp;SaveLocation=https%3A%2F%2Fintranet%2Eundp%2Eorg%2Funit%2Frba%2Fmst%2Ftrac2%2FSubmission%20Forms" TargetMode="External"/><Relationship Id="rId44" Type="http://schemas.openxmlformats.org/officeDocument/2006/relationships/control" Target="activeX/activeX12.xml"/><Relationship Id="rId52"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hyperlink" Target="https://intranet.undp.org/unit/rba/mst/trac2/SitePages/Guide.aspx" TargetMode="External"/><Relationship Id="rId14" Type="http://schemas.openxmlformats.org/officeDocument/2006/relationships/hyperlink" Target="https://oceaninnovationchallenge.org/ocean-innovators" TargetMode="External"/><Relationship Id="rId22" Type="http://schemas.openxmlformats.org/officeDocument/2006/relationships/control" Target="activeX/activeX2.xml"/><Relationship Id="rId27" Type="http://schemas.openxmlformats.org/officeDocument/2006/relationships/image" Target="media/image7.wmf"/><Relationship Id="rId30" Type="http://schemas.openxmlformats.org/officeDocument/2006/relationships/control" Target="activeX/activeX6.xml"/><Relationship Id="rId35" Type="http://schemas.openxmlformats.org/officeDocument/2006/relationships/control" Target="activeX/activeX8.xml"/><Relationship Id="rId43" Type="http://schemas.openxmlformats.org/officeDocument/2006/relationships/image" Target="media/image14.wmf"/><Relationship Id="rId48" Type="http://schemas.openxmlformats.org/officeDocument/2006/relationships/control" Target="activeX/activeX14.xml"/><Relationship Id="rId8" Type="http://schemas.openxmlformats.org/officeDocument/2006/relationships/webSettings" Target="webSettings.xml"/><Relationship Id="rId51" Type="http://schemas.openxmlformats.org/officeDocument/2006/relationships/customXml" Target="../customXml/item5.xml"/><Relationship Id="rId3" Type="http://schemas.openxmlformats.org/officeDocument/2006/relationships/customXml" Target="../customXml/item3.xml"/><Relationship Id="rId12" Type="http://schemas.openxmlformats.org/officeDocument/2006/relationships/image" Target="media/image2.gif"/><Relationship Id="rId17" Type="http://schemas.openxmlformats.org/officeDocument/2006/relationships/hyperlink" Target="https://intranet.undp.org/unit/rba/mst/trac2/_layouts/15/FormServer.aspx?XsnLocation=https://intranet.undp.org/unit/rba/mst/trac2/Submission%20Forms/Forms/template.xsn&amp;SaveLocation=https%3A%2F%2Fintranet%2Eundp%2Eorg%2Funit%2Frba%2Fmst%2Ftrac2%2FSubmission%20Forms" TargetMode="External"/><Relationship Id="rId25" Type="http://schemas.openxmlformats.org/officeDocument/2006/relationships/image" Target="media/image6.wmf"/><Relationship Id="rId33" Type="http://schemas.openxmlformats.org/officeDocument/2006/relationships/control" Target="activeX/activeX7.xml"/><Relationship Id="rId38" Type="http://schemas.openxmlformats.org/officeDocument/2006/relationships/image" Target="media/image12.wmf"/><Relationship Id="rId46" Type="http://schemas.openxmlformats.org/officeDocument/2006/relationships/control" Target="activeX/activeX13.xml"/><Relationship Id="rId20" Type="http://schemas.openxmlformats.org/officeDocument/2006/relationships/hyperlink" Target="https://intranet.undp.org/unit/rba/mst/trac2/_layouts/15/FormServer.aspx?XsnLocation=https://intranet.undp.org/unit/rba/mst/trac2/Submission%20Forms/Forms/template.xsn&amp;SaveLocation=https%3A%2F%2Fintranet%2Eundp%2Eorg%2Funit%2Frba%2Fmst%2Ftrac2%2FSubmission%20Forms" TargetMode="External"/><Relationship Id="rId41"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2022-07-04T06:00:00+00:00</UNDPPublishedDate>
    <UNDPCountryTaxHTField0 xmlns="1ed4137b-41b2-488b-8250-6d369ec27664">
      <Terms xmlns="http://schemas.microsoft.com/office/infopath/2007/PartnerControls"/>
    </UNDPCountryTaxHTField0>
    <UndpOUCode xmlns="1ed4137b-41b2-488b-8250-6d369ec27664">COM</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Capacity Development</TermName>
          <TermId xmlns="http://schemas.microsoft.com/office/infopath/2007/PartnerControls">0f6cebf4-50de-4968-b289-b483404a5dd0</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2022-04-01T04:00:00+00:00</Document_x0020_Coverage_x0020_Period_x0020_Start_x0020_Date>
    <Document_x0020_Coverage_x0020_Period_x0020_End_x0020_Date xmlns="f1161f5b-24a3-4c2d-bc81-44cb9325e8ee">2022-12-31T05:00:00+00:00</Document_x0020_Coverage_x0020_Period_x0020_End_x0020_Date>
    <Project_x0020_Number xmlns="f1161f5b-24a3-4c2d-bc81-44cb9325e8ee" xsi:nil="true"/>
    <Project_x0020_Manager xmlns="f1161f5b-24a3-4c2d-bc81-44cb9325e8ee" xsi:nil="true"/>
    <TaxCatchAll xmlns="1ed4137b-41b2-488b-8250-6d369ec27664">
      <Value>763</Value>
      <Value>1110</Value>
      <Value>1288</Value>
      <Value>1</Value>
      <Value>301</Value>
    </TaxCatchAll>
    <c4e2ab2cc9354bbf9064eeb465a566ea xmlns="1ed4137b-41b2-488b-8250-6d369ec27664">
      <Terms xmlns="http://schemas.microsoft.com/office/infopath/2007/PartnerControls"/>
    </c4e2ab2cc9354bbf9064eeb465a566ea>
    <UndpProjectNo xmlns="1ed4137b-41b2-488b-8250-6d369ec27664">131902</UndpProjectNo>
    <UndpDocStatus xmlns="1ed4137b-41b2-488b-8250-6d369ec27664">Final</UndpDocStatus>
    <Outcome1 xmlns="f1161f5b-24a3-4c2d-bc81-44cb9325e8ee">00144006</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COM</TermName>
          <TermId xmlns="http://schemas.microsoft.com/office/infopath/2007/PartnerControls">6cadeb50-8425-4402-8d6a-485ed3ea056c</TermId>
        </TermInfo>
      </Terms>
    </gc6531b704974d528487414686b72f6f>
    <_dlc_DocId xmlns="f1161f5b-24a3-4c2d-bc81-44cb9325e8ee">ATLASPDC-4-162793</_dlc_DocId>
    <_dlc_DocIdUrl xmlns="f1161f5b-24a3-4c2d-bc81-44cb9325e8ee">
      <Url>https://info.undp.org/docs/pdc/_layouts/DocIdRedir.aspx?ID=ATLASPDC-4-162793</Url>
      <Description>ATLASPDC-4-162793</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FE13C1-59C7-454F-950C-7D9D63DA501C}">
  <ds:schemaRefs>
    <ds:schemaRef ds:uri="http://schemas.microsoft.com/sharepoint/v3/contenttype/forms"/>
  </ds:schemaRefs>
</ds:datastoreItem>
</file>

<file path=customXml/itemProps2.xml><?xml version="1.0" encoding="utf-8"?>
<ds:datastoreItem xmlns:ds="http://schemas.openxmlformats.org/officeDocument/2006/customXml" ds:itemID="{1C710F30-33EE-4D84-9E1B-5B7F22B5D8C5}">
  <ds:schemaRefs>
    <ds:schemaRef ds:uri="http://schemas.openxmlformats.org/officeDocument/2006/bibliography"/>
  </ds:schemaRefs>
</ds:datastoreItem>
</file>

<file path=customXml/itemProps3.xml><?xml version="1.0" encoding="utf-8"?>
<ds:datastoreItem xmlns:ds="http://schemas.openxmlformats.org/officeDocument/2006/customXml" ds:itemID="{6AC7A01E-9FB4-43C6-AEE0-F49F12950E15}">
  <ds:schemaRefs>
    <ds:schemaRef ds:uri="2fa1697d-072c-48a7-b90c-86f571964caf"/>
    <ds:schemaRef ds:uri="http://schemas.microsoft.com/office/infopath/2007/PartnerControls"/>
    <ds:schemaRef ds:uri="http://schemas.microsoft.com/office/2006/metadata/properties"/>
    <ds:schemaRef ds:uri="http://purl.org/dc/elements/1.1/"/>
    <ds:schemaRef ds:uri="http://www.w3.org/XML/1998/namespace"/>
    <ds:schemaRef ds:uri="d32dbbf8-0d08-49da-9751-5127971bba93"/>
    <ds:schemaRef ds:uri="http://schemas.microsoft.com/office/2006/documentManagement/types"/>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7E178DEE-B0C0-45B2-BA73-99741B276E7D}"/>
</file>

<file path=customXml/itemProps5.xml><?xml version="1.0" encoding="utf-8"?>
<ds:datastoreItem xmlns:ds="http://schemas.openxmlformats.org/officeDocument/2006/customXml" ds:itemID="{181A3843-1D72-4D37-80C8-C949169AAD14}"/>
</file>

<file path=customXml/itemProps6.xml><?xml version="1.0" encoding="utf-8"?>
<ds:datastoreItem xmlns:ds="http://schemas.openxmlformats.org/officeDocument/2006/customXml" ds:itemID="{E1C593EC-F6A1-44F1-BF1F-24C3B6722626}"/>
</file>

<file path=docProps/app.xml><?xml version="1.0" encoding="utf-8"?>
<Properties xmlns="http://schemas.openxmlformats.org/officeDocument/2006/extended-properties" xmlns:vt="http://schemas.openxmlformats.org/officeDocument/2006/docPropsVTypes">
  <Template>Normal</Template>
  <TotalTime>0</TotalTime>
  <Pages>18</Pages>
  <Words>5608</Words>
  <Characters>31970</Characters>
  <Application>Microsoft Office Word</Application>
  <DocSecurity>4</DocSecurity>
  <Lines>266</Lines>
  <Paragraphs>75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 2 Prodoc</dc:title>
  <dc:subject/>
  <dc:creator>Maureen M.</dc:creator>
  <cp:keywords/>
  <dc:description/>
  <cp:lastModifiedBy>Abdou-El-Halim Ben Soulaimana</cp:lastModifiedBy>
  <cp:revision>2</cp:revision>
  <dcterms:created xsi:type="dcterms:W3CDTF">2022-07-20T11:32:00Z</dcterms:created>
  <dcterms:modified xsi:type="dcterms:W3CDTF">2022-07-20T11:32:00Z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1;#English|7f98b732-4b5b-4b70-ba90-a0eff09b5d2d</vt:lpwstr>
  </property>
  <property fmtid="{D5CDD505-2E9C-101B-9397-08002B2CF9AE}" pid="7" name="Operating Unit0">
    <vt:lpwstr>1288;#COM|6cadeb50-8425-4402-8d6a-485ed3ea056c</vt:lpwstr>
  </property>
  <property fmtid="{D5CDD505-2E9C-101B-9397-08002B2CF9AE}" pid="8" name="Atlas Document Status">
    <vt:lpwstr>763;#Draft|121d40a5-e62e-4d42-82e4-d6d12003de0a</vt:lpwstr>
  </property>
  <property fmtid="{D5CDD505-2E9C-101B-9397-08002B2CF9AE}" pid="9" name="_dlc_DocIdItemGuid">
    <vt:lpwstr>17dbd5b9-6608-47a7-a355-c98d2704e1af</vt:lpwstr>
  </property>
  <property fmtid="{D5CDD505-2E9C-101B-9397-08002B2CF9AE}" pid="10" name="Atlas Document Type">
    <vt:lpwstr>1110;#Prodoc|099f975e-b4d9-4bba-a499-dbcc387c61ad</vt:lpwstr>
  </property>
  <property fmtid="{D5CDD505-2E9C-101B-9397-08002B2CF9AE}" pid="11" name="UndpUnitMM">
    <vt:lpwstr/>
  </property>
  <property fmtid="{D5CDD505-2E9C-101B-9397-08002B2CF9AE}" pid="12" name="eRegFilingCodeMM">
    <vt:lpwstr/>
  </property>
  <property fmtid="{D5CDD505-2E9C-101B-9397-08002B2CF9AE}" pid="13" name="UNDPFocusAreas">
    <vt:lpwstr>301;#Capacity Development|0f6cebf4-50de-4968-b289-b483404a5dd0</vt:lpwstr>
  </property>
  <property fmtid="{D5CDD505-2E9C-101B-9397-08002B2CF9AE}" pid="14" name="DocumentSetDescription">
    <vt:lpwstr/>
  </property>
  <property fmtid="{D5CDD505-2E9C-101B-9397-08002B2CF9AE}" pid="15" name="UnitTaxHTField0">
    <vt:lpwstr/>
  </property>
  <property fmtid="{D5CDD505-2E9C-101B-9397-08002B2CF9AE}" pid="16" name="Unit">
    <vt:lpwstr/>
  </property>
  <property fmtid="{D5CDD505-2E9C-101B-9397-08002B2CF9AE}" pid="17" name="URL">
    <vt:lpwstr/>
  </property>
</Properties>
</file>